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177"/>
        <w:gridCol w:w="2178"/>
      </w:tblGrid>
      <w:tr w:rsidR="007F06F2" w:rsidRPr="007F06F2" w:rsidTr="007F06F2">
        <w:trPr>
          <w:trHeight w:val="450"/>
          <w:tblCellSpacing w:w="0" w:type="dxa"/>
        </w:trPr>
        <w:tc>
          <w:tcPr>
            <w:tcW w:w="0" w:type="auto"/>
            <w:gridSpan w:val="2"/>
            <w:shd w:val="clear" w:color="auto" w:fill="EEF2F6"/>
            <w:vAlign w:val="center"/>
            <w:hideMark/>
          </w:tcPr>
          <w:p w:rsidR="007F06F2" w:rsidRPr="007F06F2" w:rsidRDefault="007F06F2" w:rsidP="007F06F2">
            <w:pPr>
              <w:spacing w:after="0" w:line="240" w:lineRule="auto"/>
              <w:jc w:val="center"/>
              <w:rPr>
                <w:rFonts w:ascii="Times New Roman" w:eastAsia="Times New Roman" w:hAnsi="Times New Roman" w:cs="Times New Roman"/>
                <w:sz w:val="24"/>
                <w:szCs w:val="24"/>
                <w:lang w:eastAsia="ru-RU"/>
              </w:rPr>
            </w:pPr>
            <w:hyperlink r:id="rId6" w:history="1">
              <w:r w:rsidRPr="007F06F2">
                <w:rPr>
                  <w:rFonts w:ascii="Times New Roman" w:eastAsia="Times New Roman" w:hAnsi="Times New Roman" w:cs="Times New Roman"/>
                  <w:color w:val="0000FF"/>
                  <w:sz w:val="20"/>
                  <w:szCs w:val="20"/>
                  <w:u w:val="single"/>
                  <w:lang w:eastAsia="ru-RU"/>
                </w:rPr>
                <w:t>Про затвердження критеріїв, за якими оцінюється ступінь ризику від провадження господарської діяльності, [...]</w:t>
              </w:r>
            </w:hyperlink>
            <w:r w:rsidRPr="007F06F2">
              <w:rPr>
                <w:rFonts w:ascii="Times New Roman" w:eastAsia="Times New Roman" w:hAnsi="Times New Roman" w:cs="Times New Roman"/>
                <w:sz w:val="20"/>
                <w:szCs w:val="20"/>
                <w:lang w:eastAsia="ru-RU"/>
              </w:rPr>
              <w:br/>
              <w:t xml:space="preserve">Кабінет Міністрів України; Постанова, Критерії від </w:t>
            </w:r>
            <w:r w:rsidRPr="007F06F2">
              <w:rPr>
                <w:rFonts w:ascii="Times New Roman" w:eastAsia="Times New Roman" w:hAnsi="Times New Roman" w:cs="Times New Roman"/>
                <w:color w:val="004499"/>
                <w:sz w:val="20"/>
                <w:szCs w:val="20"/>
                <w:lang w:eastAsia="ru-RU"/>
              </w:rPr>
              <w:t>17.12.2012</w:t>
            </w:r>
            <w:r w:rsidRPr="007F06F2">
              <w:rPr>
                <w:rFonts w:ascii="Times New Roman" w:eastAsia="Times New Roman" w:hAnsi="Times New Roman" w:cs="Times New Roman"/>
                <w:sz w:val="20"/>
                <w:szCs w:val="20"/>
                <w:lang w:eastAsia="ru-RU"/>
              </w:rPr>
              <w:t xml:space="preserve"> № </w:t>
            </w:r>
            <w:r w:rsidRPr="007F06F2">
              <w:rPr>
                <w:rFonts w:ascii="Times New Roman" w:eastAsia="Times New Roman" w:hAnsi="Times New Roman" w:cs="Times New Roman"/>
                <w:b/>
                <w:bCs/>
                <w:sz w:val="20"/>
                <w:szCs w:val="20"/>
                <w:lang w:eastAsia="ru-RU"/>
              </w:rPr>
              <w:t>1207</w:t>
            </w:r>
          </w:p>
        </w:tc>
      </w:tr>
      <w:tr w:rsidR="007F06F2" w:rsidRPr="007F06F2" w:rsidTr="007F06F2">
        <w:trPr>
          <w:trHeight w:val="15"/>
          <w:tblCellSpacing w:w="0" w:type="dxa"/>
        </w:trPr>
        <w:tc>
          <w:tcPr>
            <w:tcW w:w="0" w:type="auto"/>
            <w:gridSpan w:val="2"/>
            <w:shd w:val="clear" w:color="auto" w:fill="EEF2F6"/>
            <w:vAlign w:val="center"/>
            <w:hideMark/>
          </w:tcPr>
          <w:p w:rsidR="007F06F2" w:rsidRPr="007F06F2" w:rsidRDefault="007F06F2" w:rsidP="007F06F2">
            <w:pPr>
              <w:spacing w:after="0"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8255"/>
                  <wp:effectExtent l="0" t="0" r="0" b="0"/>
                  <wp:docPr id="7" name="Рисунок 7" descr="http://zakonst.rada.gov.ua/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7F06F2" w:rsidRPr="007F06F2" w:rsidTr="007F06F2">
        <w:trPr>
          <w:trHeight w:val="360"/>
          <w:tblCellSpacing w:w="0" w:type="dxa"/>
        </w:trPr>
        <w:tc>
          <w:tcPr>
            <w:tcW w:w="0" w:type="auto"/>
            <w:noWrap/>
            <w:vAlign w:val="center"/>
            <w:hideMark/>
          </w:tcPr>
          <w:p w:rsidR="007F06F2" w:rsidRPr="007F06F2" w:rsidRDefault="007F06F2" w:rsidP="007F06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C7BAA"/>
                <w:sz w:val="24"/>
                <w:szCs w:val="24"/>
                <w:lang w:eastAsia="ru-RU"/>
              </w:rPr>
              <w:drawing>
                <wp:inline distT="0" distB="0" distL="0" distR="0">
                  <wp:extent cx="103505" cy="103505"/>
                  <wp:effectExtent l="0" t="0" r="0" b="0"/>
                  <wp:docPr id="6" name="Рисунок 6" descr="http://zakonst.rada.gov.ua/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inf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F06F2">
              <w:rPr>
                <w:rFonts w:ascii="Times New Roman" w:eastAsia="Times New Roman" w:hAnsi="Times New Roman" w:cs="Times New Roman"/>
                <w:color w:val="4C7BAA"/>
                <w:sz w:val="24"/>
                <w:szCs w:val="24"/>
                <w:lang w:eastAsia="ru-RU"/>
              </w:rPr>
              <w:t xml:space="preserve">Верховна Рада України — </w:t>
            </w:r>
            <w:hyperlink r:id="rId9" w:tgtFrame="_blank" w:history="1">
              <w:r w:rsidRPr="007F06F2">
                <w:rPr>
                  <w:rFonts w:ascii="Times New Roman" w:eastAsia="Times New Roman" w:hAnsi="Times New Roman" w:cs="Times New Roman"/>
                  <w:b/>
                  <w:bCs/>
                  <w:color w:val="0000FF"/>
                  <w:sz w:val="24"/>
                  <w:szCs w:val="24"/>
                  <w:u w:val="single"/>
                  <w:lang w:eastAsia="ru-RU"/>
                </w:rPr>
                <w:t>Законодавство України</w:t>
              </w:r>
            </w:hyperlink>
          </w:p>
        </w:tc>
        <w:tc>
          <w:tcPr>
            <w:tcW w:w="0" w:type="auto"/>
            <w:vAlign w:val="center"/>
            <w:hideMark/>
          </w:tcPr>
          <w:p w:rsidR="007F06F2" w:rsidRPr="007F06F2" w:rsidRDefault="007F06F2" w:rsidP="007F06F2">
            <w:pPr>
              <w:spacing w:after="0" w:line="240" w:lineRule="auto"/>
              <w:jc w:val="right"/>
              <w:rPr>
                <w:rFonts w:ascii="Times New Roman" w:eastAsia="Times New Roman" w:hAnsi="Times New Roman" w:cs="Times New Roman"/>
                <w:sz w:val="24"/>
                <w:szCs w:val="24"/>
                <w:lang w:eastAsia="ru-RU"/>
              </w:rPr>
            </w:pPr>
            <w:r w:rsidRPr="007F06F2">
              <w:rPr>
                <w:rFonts w:ascii="Times New Roman" w:eastAsia="Times New Roman" w:hAnsi="Times New Roman" w:cs="Times New Roman"/>
                <w:sz w:val="24"/>
                <w:szCs w:val="24"/>
                <w:lang w:eastAsia="ru-RU"/>
              </w:rPr>
              <w:t>[ 10.01.13 13:56 ]</w:t>
            </w:r>
          </w:p>
        </w:tc>
      </w:tr>
      <w:tr w:rsidR="007F06F2" w:rsidRPr="007F06F2" w:rsidTr="007F06F2">
        <w:trPr>
          <w:tblCellSpacing w:w="0" w:type="dxa"/>
        </w:trPr>
        <w:tc>
          <w:tcPr>
            <w:tcW w:w="0" w:type="auto"/>
            <w:gridSpan w:val="2"/>
            <w:vAlign w:val="center"/>
            <w:hideMark/>
          </w:tcPr>
          <w:p w:rsidR="007F06F2" w:rsidRPr="007F06F2" w:rsidRDefault="007F06F2" w:rsidP="007F06F2">
            <w:pPr>
              <w:spacing w:after="0" w:line="240" w:lineRule="auto"/>
              <w:rPr>
                <w:rFonts w:ascii="Times New Roman" w:eastAsia="Times New Roman" w:hAnsi="Times New Roman" w:cs="Times New Roman"/>
                <w:sz w:val="24"/>
                <w:szCs w:val="24"/>
                <w:lang w:eastAsia="ru-RU"/>
              </w:rPr>
            </w:pPr>
            <w:r w:rsidRPr="007F06F2">
              <w:rPr>
                <w:rFonts w:ascii="Times New Roman" w:eastAsia="Times New Roman" w:hAnsi="Times New Roman" w:cs="Times New Roman"/>
                <w:sz w:val="24"/>
                <w:szCs w:val="24"/>
                <w:lang w:eastAsia="ru-RU"/>
              </w:rPr>
              <w:pict>
                <v:rect id="_x0000_i1025" style="width:0;height:.75pt" o:hralign="center" o:hrstd="t" o:hrnoshade="t" o:hr="t" fillcolor="#6b92b9" stroked="f"/>
              </w:pict>
            </w:r>
          </w:p>
        </w:tc>
      </w:tr>
    </w:tbl>
    <w:p w:rsidR="007F06F2" w:rsidRPr="007F06F2" w:rsidRDefault="007F06F2" w:rsidP="007F06F2">
      <w:pPr>
        <w:spacing w:after="150" w:line="240" w:lineRule="auto"/>
        <w:jc w:val="both"/>
        <w:rPr>
          <w:rFonts w:ascii="Times New Roman" w:eastAsia="Times New Roman" w:hAnsi="Times New Roman" w:cs="Times New Roman"/>
          <w:vanish/>
          <w:color w:val="000000"/>
          <w:sz w:val="24"/>
          <w:szCs w:val="24"/>
          <w:lang w:eastAsia="ru-RU"/>
        </w:rPr>
      </w:pPr>
      <w:bookmarkStart w:id="0" w:name="n2"/>
      <w:bookmarkEnd w:id="0"/>
    </w:p>
    <w:tbl>
      <w:tblPr>
        <w:tblW w:w="5000" w:type="pct"/>
        <w:tblCellSpacing w:w="0" w:type="dxa"/>
        <w:tblCellMar>
          <w:left w:w="0" w:type="dxa"/>
          <w:right w:w="0" w:type="dxa"/>
        </w:tblCellMar>
        <w:tblLook w:val="04A0" w:firstRow="1" w:lastRow="0" w:firstColumn="1" w:lastColumn="0" w:noHBand="0" w:noVBand="1"/>
      </w:tblPr>
      <w:tblGrid>
        <w:gridCol w:w="9355"/>
      </w:tblGrid>
      <w:tr w:rsidR="007F06F2" w:rsidRPr="007F06F2" w:rsidTr="007F06F2">
        <w:trPr>
          <w:tblCellSpacing w:w="0" w:type="dxa"/>
        </w:trPr>
        <w:tc>
          <w:tcPr>
            <w:tcW w:w="5000" w:type="pct"/>
            <w:hideMark/>
          </w:tcPr>
          <w:p w:rsidR="007F06F2" w:rsidRPr="007F06F2" w:rsidRDefault="007F06F2" w:rsidP="007F06F2">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770" cy="763270"/>
                  <wp:effectExtent l="0" t="0" r="0" b="0"/>
                  <wp:docPr id="5" name="Рисунок 5"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st.rada.gov.ua/images/ger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7F06F2" w:rsidRPr="007F06F2" w:rsidTr="007F06F2">
        <w:trPr>
          <w:tblCellSpacing w:w="0" w:type="dxa"/>
        </w:trPr>
        <w:tc>
          <w:tcPr>
            <w:tcW w:w="5000" w:type="pct"/>
            <w:hideMark/>
          </w:tcPr>
          <w:p w:rsidR="007F06F2" w:rsidRPr="007F06F2" w:rsidRDefault="007F06F2" w:rsidP="007F06F2">
            <w:pPr>
              <w:spacing w:before="300" w:after="0" w:line="240" w:lineRule="auto"/>
              <w:ind w:left="450" w:right="450"/>
              <w:jc w:val="center"/>
              <w:rPr>
                <w:rFonts w:ascii="Times New Roman" w:eastAsia="Times New Roman" w:hAnsi="Times New Roman" w:cs="Times New Roman"/>
                <w:sz w:val="24"/>
                <w:szCs w:val="24"/>
                <w:lang w:eastAsia="ru-RU"/>
              </w:rPr>
            </w:pPr>
            <w:r w:rsidRPr="007F06F2">
              <w:rPr>
                <w:rFonts w:ascii="Times New Roman" w:eastAsia="Times New Roman" w:hAnsi="Times New Roman" w:cs="Times New Roman"/>
                <w:b/>
                <w:bCs/>
                <w:color w:val="000000"/>
                <w:sz w:val="32"/>
                <w:szCs w:val="32"/>
                <w:lang w:eastAsia="ru-RU"/>
              </w:rPr>
              <w:t>КАБІНЕТ МІНІСТРІВ УКРАЇНИ</w:t>
            </w:r>
            <w:r w:rsidRPr="007F06F2">
              <w:rPr>
                <w:rFonts w:ascii="Times New Roman" w:eastAsia="Times New Roman" w:hAnsi="Times New Roman" w:cs="Times New Roman"/>
                <w:sz w:val="24"/>
                <w:szCs w:val="24"/>
                <w:lang w:eastAsia="ru-RU"/>
              </w:rPr>
              <w:t xml:space="preserve"> </w:t>
            </w:r>
            <w:r w:rsidRPr="007F06F2">
              <w:rPr>
                <w:rFonts w:ascii="Times New Roman" w:eastAsia="Times New Roman" w:hAnsi="Times New Roman" w:cs="Times New Roman"/>
                <w:sz w:val="24"/>
                <w:szCs w:val="24"/>
                <w:lang w:eastAsia="ru-RU"/>
              </w:rPr>
              <w:br/>
            </w:r>
            <w:r w:rsidRPr="007F06F2">
              <w:rPr>
                <w:rFonts w:ascii="Times New Roman" w:eastAsia="Times New Roman" w:hAnsi="Times New Roman" w:cs="Times New Roman"/>
                <w:b/>
                <w:bCs/>
                <w:color w:val="000000"/>
                <w:sz w:val="36"/>
                <w:szCs w:val="36"/>
                <w:lang w:eastAsia="ru-RU"/>
              </w:rPr>
              <w:t>ПОСТАНОВА</w:t>
            </w:r>
          </w:p>
        </w:tc>
      </w:tr>
      <w:tr w:rsidR="007F06F2" w:rsidRPr="007F06F2" w:rsidTr="007F06F2">
        <w:trPr>
          <w:tblCellSpacing w:w="0" w:type="dxa"/>
        </w:trPr>
        <w:tc>
          <w:tcPr>
            <w:tcW w:w="5000" w:type="pct"/>
            <w:hideMark/>
          </w:tcPr>
          <w:p w:rsidR="007F06F2" w:rsidRPr="007F06F2" w:rsidRDefault="007F06F2" w:rsidP="007F06F2">
            <w:pPr>
              <w:spacing w:before="150" w:after="150" w:line="240" w:lineRule="auto"/>
              <w:ind w:left="450" w:right="450"/>
              <w:jc w:val="center"/>
              <w:rPr>
                <w:rFonts w:ascii="Times New Roman" w:eastAsia="Times New Roman" w:hAnsi="Times New Roman" w:cs="Times New Roman"/>
                <w:sz w:val="24"/>
                <w:szCs w:val="24"/>
                <w:lang w:eastAsia="ru-RU"/>
              </w:rPr>
            </w:pPr>
            <w:r w:rsidRPr="007F06F2">
              <w:rPr>
                <w:rFonts w:ascii="Times New Roman" w:eastAsia="Times New Roman" w:hAnsi="Times New Roman" w:cs="Times New Roman"/>
                <w:b/>
                <w:bCs/>
                <w:color w:val="000000"/>
                <w:sz w:val="24"/>
                <w:szCs w:val="24"/>
                <w:lang w:eastAsia="ru-RU"/>
              </w:rPr>
              <w:t>від 17 грудня 2012 р. № 1207</w:t>
            </w:r>
            <w:r w:rsidRPr="007F06F2">
              <w:rPr>
                <w:rFonts w:ascii="Times New Roman" w:eastAsia="Times New Roman" w:hAnsi="Times New Roman" w:cs="Times New Roman"/>
                <w:sz w:val="24"/>
                <w:szCs w:val="24"/>
                <w:lang w:eastAsia="ru-RU"/>
              </w:rPr>
              <w:t xml:space="preserve"> </w:t>
            </w:r>
            <w:r w:rsidRPr="007F06F2">
              <w:rPr>
                <w:rFonts w:ascii="Times New Roman" w:eastAsia="Times New Roman" w:hAnsi="Times New Roman" w:cs="Times New Roman"/>
                <w:sz w:val="24"/>
                <w:szCs w:val="24"/>
                <w:lang w:eastAsia="ru-RU"/>
              </w:rPr>
              <w:br/>
            </w:r>
            <w:r w:rsidRPr="007F06F2">
              <w:rPr>
                <w:rFonts w:ascii="Times New Roman" w:eastAsia="Times New Roman" w:hAnsi="Times New Roman" w:cs="Times New Roman"/>
                <w:b/>
                <w:bCs/>
                <w:color w:val="000000"/>
                <w:sz w:val="24"/>
                <w:szCs w:val="24"/>
                <w:lang w:eastAsia="ru-RU"/>
              </w:rPr>
              <w:t>Київ</w:t>
            </w:r>
          </w:p>
        </w:tc>
      </w:tr>
    </w:tbl>
    <w:p w:rsidR="007F06F2" w:rsidRPr="007F06F2" w:rsidRDefault="007F06F2" w:rsidP="007F06F2">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3"/>
      <w:bookmarkEnd w:id="1"/>
      <w:r w:rsidRPr="007F06F2">
        <w:rPr>
          <w:rFonts w:ascii="Times New Roman" w:eastAsia="Times New Roman" w:hAnsi="Times New Roman" w:cs="Times New Roman"/>
          <w:b/>
          <w:bCs/>
          <w:color w:val="000000"/>
          <w:sz w:val="32"/>
          <w:szCs w:val="32"/>
          <w:lang w:eastAsia="ru-RU"/>
        </w:rPr>
        <w:t>Про затвердження критеріїв, за якими оцінюється ступінь ризику від провадження господарської діяльності, пов’язаної з проведенням робіт із землеустрою, землеоціночних робіт та земельних торгів, і визначається періодичність проведення планових заходів державного нагляду (контролю)</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7F06F2">
        <w:rPr>
          <w:rFonts w:ascii="Times New Roman" w:eastAsia="Times New Roman" w:hAnsi="Times New Roman" w:cs="Times New Roman"/>
          <w:color w:val="000000"/>
          <w:sz w:val="24"/>
          <w:szCs w:val="24"/>
          <w:lang w:eastAsia="ru-RU"/>
        </w:rPr>
        <w:t xml:space="preserve">Відповідно до статті 5 </w:t>
      </w:r>
      <w:hyperlink r:id="rId11" w:tgtFrame="_blank" w:history="1">
        <w:r w:rsidRPr="007F06F2">
          <w:rPr>
            <w:rFonts w:ascii="Times New Roman" w:eastAsia="Times New Roman" w:hAnsi="Times New Roman" w:cs="Times New Roman"/>
            <w:color w:val="000099"/>
            <w:sz w:val="24"/>
            <w:szCs w:val="24"/>
            <w:u w:val="single"/>
            <w:lang w:eastAsia="ru-RU"/>
          </w:rPr>
          <w:t>Закону України “Про основні засади державного нагляду (контролю) у сфері господарської діяльності”</w:t>
        </w:r>
      </w:hyperlink>
      <w:r w:rsidRPr="007F06F2">
        <w:rPr>
          <w:rFonts w:ascii="Times New Roman" w:eastAsia="Times New Roman" w:hAnsi="Times New Roman" w:cs="Times New Roman"/>
          <w:color w:val="000000"/>
          <w:sz w:val="24"/>
          <w:szCs w:val="24"/>
          <w:lang w:eastAsia="ru-RU"/>
        </w:rPr>
        <w:t xml:space="preserve"> Кабінет Міністрів України </w:t>
      </w:r>
      <w:r w:rsidRPr="007F06F2">
        <w:rPr>
          <w:rFonts w:ascii="Times New Roman" w:eastAsia="Times New Roman" w:hAnsi="Times New Roman" w:cs="Times New Roman"/>
          <w:b/>
          <w:bCs/>
          <w:color w:val="000000"/>
          <w:spacing w:val="30"/>
          <w:sz w:val="24"/>
          <w:szCs w:val="24"/>
          <w:lang w:eastAsia="ru-RU"/>
        </w:rPr>
        <w:t>постановляє:</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7F06F2">
        <w:rPr>
          <w:rFonts w:ascii="Times New Roman" w:eastAsia="Times New Roman" w:hAnsi="Times New Roman" w:cs="Times New Roman"/>
          <w:color w:val="000000"/>
          <w:sz w:val="24"/>
          <w:szCs w:val="24"/>
          <w:lang w:eastAsia="ru-RU"/>
        </w:rPr>
        <w:t xml:space="preserve">Затвердити </w:t>
      </w:r>
      <w:hyperlink r:id="rId12" w:anchor="n8" w:history="1">
        <w:r w:rsidRPr="007F06F2">
          <w:rPr>
            <w:rFonts w:ascii="Times New Roman" w:eastAsia="Times New Roman" w:hAnsi="Times New Roman" w:cs="Times New Roman"/>
            <w:color w:val="006600"/>
            <w:sz w:val="24"/>
            <w:szCs w:val="24"/>
            <w:u w:val="single"/>
            <w:lang w:eastAsia="ru-RU"/>
          </w:rPr>
          <w:t>критерії, за якими оцінюється ступінь ризику від провадження господарської діяльності, пов’язаної з проведенням робіт із землеустрою, землеоціночних робіт та земельних торгів, і визначається періодичність здійснення планових заходів державного нагляду (контролю)</w:t>
        </w:r>
      </w:hyperlink>
      <w:r w:rsidRPr="007F06F2">
        <w:rPr>
          <w:rFonts w:ascii="Times New Roman" w:eastAsia="Times New Roman" w:hAnsi="Times New Roman" w:cs="Times New Roman"/>
          <w:color w:val="000000"/>
          <w:sz w:val="24"/>
          <w:szCs w:val="24"/>
          <w:lang w:eastAsia="ru-RU"/>
        </w:rPr>
        <w:t>, згідно з додатком.</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7F06F2" w:rsidRPr="007F06F2" w:rsidTr="007F06F2">
        <w:trPr>
          <w:tblCellSpacing w:w="0" w:type="dxa"/>
        </w:trPr>
        <w:tc>
          <w:tcPr>
            <w:tcW w:w="1500" w:type="pct"/>
            <w:hideMark/>
          </w:tcPr>
          <w:p w:rsidR="007F06F2" w:rsidRPr="007F06F2" w:rsidRDefault="007F06F2" w:rsidP="007F06F2">
            <w:pPr>
              <w:spacing w:before="300" w:after="150" w:line="240" w:lineRule="auto"/>
              <w:jc w:val="center"/>
              <w:rPr>
                <w:rFonts w:ascii="Times New Roman" w:eastAsia="Times New Roman" w:hAnsi="Times New Roman" w:cs="Times New Roman"/>
                <w:sz w:val="24"/>
                <w:szCs w:val="24"/>
                <w:lang w:eastAsia="ru-RU"/>
              </w:rPr>
            </w:pPr>
            <w:bookmarkStart w:id="4" w:name="n6"/>
            <w:bookmarkEnd w:id="4"/>
            <w:r w:rsidRPr="007F06F2">
              <w:rPr>
                <w:rFonts w:ascii="Times New Roman" w:eastAsia="Times New Roman" w:hAnsi="Times New Roman" w:cs="Times New Roman"/>
                <w:b/>
                <w:bCs/>
                <w:color w:val="000000"/>
                <w:sz w:val="24"/>
                <w:szCs w:val="24"/>
                <w:lang w:eastAsia="ru-RU"/>
              </w:rPr>
              <w:t>Прем'єр-міністр України</w:t>
            </w:r>
          </w:p>
        </w:tc>
        <w:tc>
          <w:tcPr>
            <w:tcW w:w="3500" w:type="pct"/>
            <w:hideMark/>
          </w:tcPr>
          <w:p w:rsidR="007F06F2" w:rsidRPr="007F06F2" w:rsidRDefault="007F06F2" w:rsidP="007F06F2">
            <w:pPr>
              <w:spacing w:before="300" w:after="0" w:line="240" w:lineRule="auto"/>
              <w:jc w:val="right"/>
              <w:rPr>
                <w:rFonts w:ascii="Times New Roman" w:eastAsia="Times New Roman" w:hAnsi="Times New Roman" w:cs="Times New Roman"/>
                <w:sz w:val="24"/>
                <w:szCs w:val="24"/>
                <w:lang w:eastAsia="ru-RU"/>
              </w:rPr>
            </w:pPr>
            <w:r w:rsidRPr="007F06F2">
              <w:rPr>
                <w:rFonts w:ascii="Times New Roman" w:eastAsia="Times New Roman" w:hAnsi="Times New Roman" w:cs="Times New Roman"/>
                <w:b/>
                <w:bCs/>
                <w:color w:val="000000"/>
                <w:sz w:val="24"/>
                <w:szCs w:val="24"/>
                <w:lang w:eastAsia="ru-RU"/>
              </w:rPr>
              <w:t>М.АЗАРОВ</w:t>
            </w:r>
          </w:p>
        </w:tc>
      </w:tr>
      <w:tr w:rsidR="007F06F2" w:rsidRPr="007F06F2" w:rsidTr="007F06F2">
        <w:trPr>
          <w:tblCellSpacing w:w="0" w:type="dxa"/>
        </w:trPr>
        <w:tc>
          <w:tcPr>
            <w:tcW w:w="0" w:type="auto"/>
            <w:hideMark/>
          </w:tcPr>
          <w:p w:rsidR="007F06F2" w:rsidRPr="007F06F2" w:rsidRDefault="007F06F2" w:rsidP="007F06F2">
            <w:pPr>
              <w:spacing w:before="300" w:after="150" w:line="240" w:lineRule="auto"/>
              <w:jc w:val="center"/>
              <w:rPr>
                <w:rFonts w:ascii="Times New Roman" w:eastAsia="Times New Roman" w:hAnsi="Times New Roman" w:cs="Times New Roman"/>
                <w:sz w:val="24"/>
                <w:szCs w:val="24"/>
                <w:lang w:eastAsia="ru-RU"/>
              </w:rPr>
            </w:pPr>
            <w:r w:rsidRPr="007F06F2">
              <w:rPr>
                <w:rFonts w:ascii="Times New Roman" w:eastAsia="Times New Roman" w:hAnsi="Times New Roman" w:cs="Times New Roman"/>
                <w:b/>
                <w:bCs/>
                <w:color w:val="000000"/>
                <w:sz w:val="24"/>
                <w:szCs w:val="24"/>
                <w:lang w:eastAsia="ru-RU"/>
              </w:rPr>
              <w:t>Інд. 70</w:t>
            </w:r>
          </w:p>
        </w:tc>
        <w:tc>
          <w:tcPr>
            <w:tcW w:w="0" w:type="auto"/>
            <w:hideMark/>
          </w:tcPr>
          <w:p w:rsidR="007F06F2" w:rsidRPr="007F06F2" w:rsidRDefault="007F06F2" w:rsidP="007F06F2">
            <w:pPr>
              <w:spacing w:before="300" w:after="0" w:line="240" w:lineRule="auto"/>
              <w:jc w:val="right"/>
              <w:rPr>
                <w:rFonts w:ascii="Times New Roman" w:eastAsia="Times New Roman" w:hAnsi="Times New Roman" w:cs="Times New Roman"/>
                <w:sz w:val="24"/>
                <w:szCs w:val="24"/>
                <w:lang w:eastAsia="ru-RU"/>
              </w:rPr>
            </w:pPr>
          </w:p>
        </w:tc>
      </w:tr>
    </w:tbl>
    <w:p w:rsidR="007F06F2" w:rsidRPr="007F06F2" w:rsidRDefault="007F06F2" w:rsidP="007F06F2">
      <w:pPr>
        <w:spacing w:after="0" w:line="240" w:lineRule="auto"/>
        <w:rPr>
          <w:rFonts w:ascii="Times New Roman" w:eastAsia="Times New Roman" w:hAnsi="Times New Roman" w:cs="Times New Roman"/>
          <w:color w:val="000000"/>
          <w:sz w:val="24"/>
          <w:szCs w:val="24"/>
          <w:lang w:eastAsia="ru-RU"/>
        </w:rPr>
      </w:pPr>
      <w:bookmarkStart w:id="5" w:name="n38"/>
      <w:bookmarkEnd w:id="5"/>
      <w:r w:rsidRPr="007F06F2">
        <w:rPr>
          <w:rFonts w:ascii="Times New Roman" w:eastAsia="Times New Roman" w:hAnsi="Times New Roman" w:cs="Times New Roman"/>
          <w:color w:val="000000"/>
          <w:sz w:val="24"/>
          <w:szCs w:val="24"/>
          <w:lang w:eastAsia="ru-RU"/>
        </w:rPr>
        <w:pict>
          <v:rect id="_x0000_i1026" style="width:0;height:1.5pt" o:hralign="center" o:hrstd="t" o:hrnoshade="t" o:hr="t" fillcolor="black" stroked="f"/>
        </w:pict>
      </w:r>
    </w:p>
    <w:p w:rsidR="007F06F2" w:rsidRPr="007F06F2" w:rsidRDefault="007F06F2" w:rsidP="007F06F2">
      <w:pPr>
        <w:spacing w:after="150" w:line="240" w:lineRule="auto"/>
        <w:jc w:val="both"/>
        <w:rPr>
          <w:rFonts w:ascii="Times New Roman" w:eastAsia="Times New Roman" w:hAnsi="Times New Roman" w:cs="Times New Roman"/>
          <w:sz w:val="24"/>
          <w:szCs w:val="24"/>
          <w:lang w:eastAsia="ru-RU"/>
        </w:rPr>
      </w:pPr>
      <w:bookmarkStart w:id="6" w:name="n37"/>
      <w:bookmarkEnd w:id="6"/>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7F06F2" w:rsidRPr="007F06F2" w:rsidTr="007F06F2">
        <w:trPr>
          <w:tblCellSpacing w:w="0" w:type="dxa"/>
        </w:trPr>
        <w:tc>
          <w:tcPr>
            <w:tcW w:w="2300" w:type="pct"/>
            <w:hideMark/>
          </w:tcPr>
          <w:p w:rsidR="007F06F2" w:rsidRPr="007F06F2" w:rsidRDefault="007F06F2" w:rsidP="007F06F2">
            <w:pPr>
              <w:spacing w:before="150" w:after="150" w:line="240" w:lineRule="auto"/>
              <w:rPr>
                <w:rFonts w:ascii="Times New Roman" w:eastAsia="Times New Roman" w:hAnsi="Times New Roman" w:cs="Times New Roman"/>
                <w:sz w:val="24"/>
                <w:szCs w:val="24"/>
                <w:lang w:eastAsia="ru-RU"/>
              </w:rPr>
            </w:pPr>
            <w:bookmarkStart w:id="7" w:name="n7"/>
            <w:bookmarkEnd w:id="7"/>
          </w:p>
        </w:tc>
        <w:tc>
          <w:tcPr>
            <w:tcW w:w="2000" w:type="pct"/>
            <w:hideMark/>
          </w:tcPr>
          <w:p w:rsidR="007F06F2" w:rsidRPr="007F06F2" w:rsidRDefault="007F06F2" w:rsidP="007F06F2">
            <w:pPr>
              <w:spacing w:before="150" w:after="150" w:line="240" w:lineRule="auto"/>
              <w:jc w:val="center"/>
              <w:rPr>
                <w:rFonts w:ascii="Times New Roman" w:eastAsia="Times New Roman" w:hAnsi="Times New Roman" w:cs="Times New Roman"/>
                <w:sz w:val="24"/>
                <w:szCs w:val="24"/>
                <w:lang w:eastAsia="ru-RU"/>
              </w:rPr>
            </w:pPr>
            <w:r w:rsidRPr="007F06F2">
              <w:rPr>
                <w:rFonts w:ascii="Times New Roman" w:eastAsia="Times New Roman" w:hAnsi="Times New Roman" w:cs="Times New Roman"/>
                <w:sz w:val="24"/>
                <w:szCs w:val="24"/>
                <w:lang w:eastAsia="ru-RU"/>
              </w:rPr>
              <w:t xml:space="preserve">Додаток </w:t>
            </w:r>
            <w:r w:rsidRPr="007F06F2">
              <w:rPr>
                <w:rFonts w:ascii="Times New Roman" w:eastAsia="Times New Roman" w:hAnsi="Times New Roman" w:cs="Times New Roman"/>
                <w:sz w:val="24"/>
                <w:szCs w:val="24"/>
                <w:lang w:eastAsia="ru-RU"/>
              </w:rPr>
              <w:br/>
              <w:t xml:space="preserve">до постанови Кабінету Міністрів України </w:t>
            </w:r>
            <w:r w:rsidRPr="007F06F2">
              <w:rPr>
                <w:rFonts w:ascii="Times New Roman" w:eastAsia="Times New Roman" w:hAnsi="Times New Roman" w:cs="Times New Roman"/>
                <w:sz w:val="24"/>
                <w:szCs w:val="24"/>
                <w:lang w:eastAsia="ru-RU"/>
              </w:rPr>
              <w:br/>
              <w:t>від 17 грудня 2012 р. № 1207</w:t>
            </w:r>
          </w:p>
        </w:tc>
      </w:tr>
    </w:tbl>
    <w:p w:rsidR="007F06F2" w:rsidRPr="007F06F2" w:rsidRDefault="007F06F2" w:rsidP="007F06F2">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8" w:name="n8"/>
      <w:bookmarkEnd w:id="8"/>
      <w:r w:rsidRPr="007F06F2">
        <w:rPr>
          <w:rFonts w:ascii="Times New Roman" w:eastAsia="Times New Roman" w:hAnsi="Times New Roman" w:cs="Times New Roman"/>
          <w:b/>
          <w:bCs/>
          <w:color w:val="000000"/>
          <w:sz w:val="32"/>
          <w:szCs w:val="32"/>
          <w:lang w:eastAsia="ru-RU"/>
        </w:rPr>
        <w:t xml:space="preserve">КРИТЕРІЇ, </w:t>
      </w:r>
      <w:r w:rsidRPr="007F06F2">
        <w:rPr>
          <w:rFonts w:ascii="Times New Roman" w:eastAsia="Times New Roman" w:hAnsi="Times New Roman" w:cs="Times New Roman"/>
          <w:color w:val="000000"/>
          <w:sz w:val="24"/>
          <w:szCs w:val="24"/>
          <w:lang w:eastAsia="ru-RU"/>
        </w:rPr>
        <w:br/>
      </w:r>
      <w:r w:rsidRPr="007F06F2">
        <w:rPr>
          <w:rFonts w:ascii="Times New Roman" w:eastAsia="Times New Roman" w:hAnsi="Times New Roman" w:cs="Times New Roman"/>
          <w:b/>
          <w:bCs/>
          <w:color w:val="000000"/>
          <w:sz w:val="32"/>
          <w:szCs w:val="32"/>
          <w:lang w:eastAsia="ru-RU"/>
        </w:rPr>
        <w:t xml:space="preserve">за якими оцінюється ступінь ризику від провадження </w:t>
      </w:r>
      <w:r w:rsidRPr="007F06F2">
        <w:rPr>
          <w:rFonts w:ascii="Times New Roman" w:eastAsia="Times New Roman" w:hAnsi="Times New Roman" w:cs="Times New Roman"/>
          <w:b/>
          <w:bCs/>
          <w:color w:val="000000"/>
          <w:sz w:val="32"/>
          <w:szCs w:val="32"/>
          <w:lang w:eastAsia="ru-RU"/>
        </w:rPr>
        <w:lastRenderedPageBreak/>
        <w:t>господарської діяльності, пов’язаної з проведенням робіт із землеустрою, землеоціночних робіт та земельних торгів, і визначається періодичність здійснення планових заходів державного нагляду (контролю)</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9" w:name="n9"/>
      <w:bookmarkEnd w:id="9"/>
      <w:r w:rsidRPr="007F06F2">
        <w:rPr>
          <w:rFonts w:ascii="Times New Roman" w:eastAsia="Times New Roman" w:hAnsi="Times New Roman" w:cs="Times New Roman"/>
          <w:color w:val="000000"/>
          <w:sz w:val="24"/>
          <w:szCs w:val="24"/>
          <w:lang w:eastAsia="ru-RU"/>
        </w:rPr>
        <w:t>1. Критеріями, за якими оцінюється ступінь ризику від провадження господарської діяльності, пов’язаної з проведенням робіт із землеустрою, землеоціночних робіт та земельних торгів, є:</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10" w:name="n10"/>
      <w:bookmarkEnd w:id="10"/>
      <w:r w:rsidRPr="007F06F2">
        <w:rPr>
          <w:rFonts w:ascii="Times New Roman" w:eastAsia="Times New Roman" w:hAnsi="Times New Roman" w:cs="Times New Roman"/>
          <w:color w:val="000000"/>
          <w:sz w:val="24"/>
          <w:szCs w:val="24"/>
          <w:lang w:eastAsia="ru-RU"/>
        </w:rPr>
        <w:t>додержання вимог законодавства, стандартів, норм, правил у сфері землеустрою, ліцензійних умов провадження господарської діяльності, пов’язаної з проведенням землеоціночних робіт та земельних торгів;</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11" w:name="n11"/>
      <w:bookmarkEnd w:id="11"/>
      <w:r w:rsidRPr="007F06F2">
        <w:rPr>
          <w:rFonts w:ascii="Times New Roman" w:eastAsia="Times New Roman" w:hAnsi="Times New Roman" w:cs="Times New Roman"/>
          <w:color w:val="000000"/>
          <w:sz w:val="24"/>
          <w:szCs w:val="24"/>
          <w:lang w:eastAsia="ru-RU"/>
        </w:rPr>
        <w:t>розроблення документації із землеустрою та види робіт, які проводять суб’єкти господарювання.</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7F06F2">
        <w:rPr>
          <w:rFonts w:ascii="Times New Roman" w:eastAsia="Times New Roman" w:hAnsi="Times New Roman" w:cs="Times New Roman"/>
          <w:color w:val="000000"/>
          <w:sz w:val="24"/>
          <w:szCs w:val="24"/>
          <w:lang w:eastAsia="ru-RU"/>
        </w:rPr>
        <w:t>2. Відповідно до встановлених критеріїв суб’єкти господарювання незалежно від форми власності відносяться до одного з трьох ступенів ризику: високого, середнього та незначного.</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7F06F2">
        <w:rPr>
          <w:rFonts w:ascii="Times New Roman" w:eastAsia="Times New Roman" w:hAnsi="Times New Roman" w:cs="Times New Roman"/>
          <w:color w:val="000000"/>
          <w:sz w:val="24"/>
          <w:szCs w:val="24"/>
          <w:lang w:eastAsia="ru-RU"/>
        </w:rPr>
        <w:t>3. До суб’єктів господарювання з високим ступенем ризику належать суб’єкти господарювання:</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7F06F2">
        <w:rPr>
          <w:rFonts w:ascii="Times New Roman" w:eastAsia="Times New Roman" w:hAnsi="Times New Roman" w:cs="Times New Roman"/>
          <w:color w:val="000000"/>
          <w:sz w:val="24"/>
          <w:szCs w:val="24"/>
          <w:lang w:eastAsia="ru-RU"/>
        </w:rPr>
        <w:t>1) у яких під час здійснення останнього планового чи позапланового заходу державного нагляду (контролю) встановлено факти порушення вимог законодавства, стандартів, норм, правил у сфері землеустрою, ліцензійних умов провадження господарської діяльності, пов’язаної з проведенням землеоціночних робіт та земельних торгів;</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7F06F2">
        <w:rPr>
          <w:rFonts w:ascii="Times New Roman" w:eastAsia="Times New Roman" w:hAnsi="Times New Roman" w:cs="Times New Roman"/>
          <w:color w:val="000000"/>
          <w:sz w:val="24"/>
          <w:szCs w:val="24"/>
          <w:lang w:eastAsia="ru-RU"/>
        </w:rPr>
        <w:t>2) які розробляли протягом останніх п’яти років хоча б один з таких видів документації із землеустрою, щодо якої отримали негативний висновок державної землевпорядної експертизи:</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7F06F2">
        <w:rPr>
          <w:rFonts w:ascii="Times New Roman" w:eastAsia="Times New Roman" w:hAnsi="Times New Roman" w:cs="Times New Roman"/>
          <w:color w:val="000000"/>
          <w:sz w:val="24"/>
          <w:szCs w:val="24"/>
          <w:lang w:eastAsia="ru-RU"/>
        </w:rPr>
        <w:t>схеми землеустрою і техніко-економічні обґрунтування використання та охорони земель адміністративно-територіальних одиниць;</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7F06F2">
        <w:rPr>
          <w:rFonts w:ascii="Times New Roman" w:eastAsia="Times New Roman" w:hAnsi="Times New Roman" w:cs="Times New Roman"/>
          <w:color w:val="000000"/>
          <w:sz w:val="24"/>
          <w:szCs w:val="24"/>
          <w:lang w:eastAsia="ru-RU"/>
        </w:rPr>
        <w:t>проекти землеустрою щодо встановлення (зміни) меж адміністративно-територіальних одиниць;</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7F06F2">
        <w:rPr>
          <w:rFonts w:ascii="Times New Roman" w:eastAsia="Times New Roman" w:hAnsi="Times New Roman" w:cs="Times New Roman"/>
          <w:color w:val="000000"/>
          <w:sz w:val="24"/>
          <w:szCs w:val="24"/>
          <w:lang w:eastAsia="ru-RU"/>
        </w:rPr>
        <w:t>проекти землеустрою щодо впорядкування території населених пунктів;</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7F06F2">
        <w:rPr>
          <w:rFonts w:ascii="Times New Roman" w:eastAsia="Times New Roman" w:hAnsi="Times New Roman" w:cs="Times New Roman"/>
          <w:color w:val="000000"/>
          <w:sz w:val="24"/>
          <w:szCs w:val="24"/>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7F06F2">
        <w:rPr>
          <w:rFonts w:ascii="Times New Roman" w:eastAsia="Times New Roman" w:hAnsi="Times New Roman" w:cs="Times New Roman"/>
          <w:color w:val="000000"/>
          <w:sz w:val="24"/>
          <w:szCs w:val="24"/>
          <w:lang w:eastAsia="ru-RU"/>
        </w:rPr>
        <w:t>проекти землеустрою, що містять еколого-економічне обґрунтування сівозміни та впорядкування угідь;</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7F06F2">
        <w:rPr>
          <w:rFonts w:ascii="Times New Roman" w:eastAsia="Times New Roman" w:hAnsi="Times New Roman" w:cs="Times New Roman"/>
          <w:color w:val="000000"/>
          <w:sz w:val="24"/>
          <w:szCs w:val="24"/>
          <w:lang w:eastAsia="ru-RU"/>
        </w:rPr>
        <w:t>технічну документацію з нормативної грошової оцінки земельних ділянок;</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7F06F2">
        <w:rPr>
          <w:rFonts w:ascii="Times New Roman" w:eastAsia="Times New Roman" w:hAnsi="Times New Roman" w:cs="Times New Roman"/>
          <w:color w:val="000000"/>
          <w:sz w:val="24"/>
          <w:szCs w:val="24"/>
          <w:lang w:eastAsia="ru-RU"/>
        </w:rPr>
        <w:t>3) які виконують хоча б один з таких видів робіт:</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7F06F2">
        <w:rPr>
          <w:rFonts w:ascii="Times New Roman" w:eastAsia="Times New Roman" w:hAnsi="Times New Roman" w:cs="Times New Roman"/>
          <w:color w:val="000000"/>
          <w:sz w:val="24"/>
          <w:szCs w:val="24"/>
          <w:lang w:eastAsia="ru-RU"/>
        </w:rPr>
        <w:t>оформлення звітів з експертної грошової оцінки земельних ділянок;</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24"/>
      <w:bookmarkEnd w:id="24"/>
      <w:r w:rsidRPr="007F06F2">
        <w:rPr>
          <w:rFonts w:ascii="Times New Roman" w:eastAsia="Times New Roman" w:hAnsi="Times New Roman" w:cs="Times New Roman"/>
          <w:color w:val="000000"/>
          <w:sz w:val="24"/>
          <w:szCs w:val="24"/>
          <w:lang w:eastAsia="ru-RU"/>
        </w:rPr>
        <w:t>проведення земельних торгів.</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7F06F2">
        <w:rPr>
          <w:rFonts w:ascii="Times New Roman" w:eastAsia="Times New Roman" w:hAnsi="Times New Roman" w:cs="Times New Roman"/>
          <w:color w:val="000000"/>
          <w:sz w:val="24"/>
          <w:szCs w:val="24"/>
          <w:lang w:eastAsia="ru-RU"/>
        </w:rPr>
        <w:lastRenderedPageBreak/>
        <w:t>4. До суб’єктів господарювання із середнім ступенем ризику належать суб’єкти господарювання, які за останній рік розробляли хоча б один з таких видів документації із землеустрою:</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26"/>
      <w:bookmarkEnd w:id="26"/>
      <w:r w:rsidRPr="007F06F2">
        <w:rPr>
          <w:rFonts w:ascii="Times New Roman" w:eastAsia="Times New Roman" w:hAnsi="Times New Roman" w:cs="Times New Roman"/>
          <w:color w:val="000000"/>
          <w:sz w:val="24"/>
          <w:szCs w:val="24"/>
          <w:lang w:eastAsia="ru-RU"/>
        </w:rPr>
        <w:t>технічну документацію з бонітування ґрунтів;</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27"/>
      <w:bookmarkEnd w:id="27"/>
      <w:r w:rsidRPr="007F06F2">
        <w:rPr>
          <w:rFonts w:ascii="Times New Roman" w:eastAsia="Times New Roman" w:hAnsi="Times New Roman" w:cs="Times New Roman"/>
          <w:color w:val="000000"/>
          <w:sz w:val="24"/>
          <w:szCs w:val="24"/>
          <w:lang w:eastAsia="ru-RU"/>
        </w:rPr>
        <w:t>робочі проекти землеустрою щодо рекультивації порушених земель, землювання малопродуктивних угідь, захисту земель від ерозії, підтоплення, заболочення, вторинного засолення, висушення, зсувів, ущільнення, закислення, забруднення промисловими та іншими відходами, радіоактивними та хімічними речовинами, покращення сільськогосподарських земель, підвищення родючості ґрунтів;</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28"/>
      <w:bookmarkEnd w:id="28"/>
      <w:r w:rsidRPr="007F06F2">
        <w:rPr>
          <w:rFonts w:ascii="Times New Roman" w:eastAsia="Times New Roman" w:hAnsi="Times New Roman" w:cs="Times New Roman"/>
          <w:color w:val="000000"/>
          <w:sz w:val="24"/>
          <w:szCs w:val="24"/>
          <w:lang w:eastAsia="ru-RU"/>
        </w:rPr>
        <w:t>проекти консервації земель;</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29"/>
      <w:bookmarkEnd w:id="29"/>
      <w:r w:rsidRPr="007F06F2">
        <w:rPr>
          <w:rFonts w:ascii="Times New Roman" w:eastAsia="Times New Roman" w:hAnsi="Times New Roman" w:cs="Times New Roman"/>
          <w:color w:val="000000"/>
          <w:sz w:val="24"/>
          <w:szCs w:val="24"/>
          <w:lang w:eastAsia="ru-RU"/>
        </w:rPr>
        <w:t>технічну документацію з економічної оцінки земель;</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30"/>
      <w:bookmarkEnd w:id="30"/>
      <w:r w:rsidRPr="007F06F2">
        <w:rPr>
          <w:rFonts w:ascii="Times New Roman" w:eastAsia="Times New Roman" w:hAnsi="Times New Roman" w:cs="Times New Roman"/>
          <w:color w:val="000000"/>
          <w:sz w:val="24"/>
          <w:szCs w:val="24"/>
          <w:lang w:eastAsia="ru-RU"/>
        </w:rPr>
        <w:t>проекти землеустрою щодо відведення земельних ділянок;</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31"/>
      <w:bookmarkEnd w:id="31"/>
      <w:r w:rsidRPr="007F06F2">
        <w:rPr>
          <w:rFonts w:ascii="Times New Roman" w:eastAsia="Times New Roman" w:hAnsi="Times New Roman" w:cs="Times New Roman"/>
          <w:color w:val="000000"/>
          <w:sz w:val="24"/>
          <w:szCs w:val="24"/>
          <w:lang w:eastAsia="ru-RU"/>
        </w:rPr>
        <w:t>проекти землеустрою щодо створення нових та впорядкування існуючих землеволодінь і землекористувань.</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7F06F2">
        <w:rPr>
          <w:rFonts w:ascii="Times New Roman" w:eastAsia="Times New Roman" w:hAnsi="Times New Roman" w:cs="Times New Roman"/>
          <w:color w:val="000000"/>
          <w:sz w:val="24"/>
          <w:szCs w:val="24"/>
          <w:lang w:eastAsia="ru-RU"/>
        </w:rPr>
        <w:t>5. До суб’єктів господарювання з незначним ступенем ризику належать суб’єкти, що не віднесені до суб’єктів господарювання з високим та середнім ступенем ризику.</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33"/>
      <w:bookmarkEnd w:id="33"/>
      <w:r w:rsidRPr="007F06F2">
        <w:rPr>
          <w:rFonts w:ascii="Times New Roman" w:eastAsia="Times New Roman" w:hAnsi="Times New Roman" w:cs="Times New Roman"/>
          <w:color w:val="000000"/>
          <w:sz w:val="24"/>
          <w:szCs w:val="24"/>
          <w:lang w:eastAsia="ru-RU"/>
        </w:rPr>
        <w:t>6. Планові заходи державного нагляду (контролю) за провадженням суб’єктами господарювання господарської діяльності, пов’язаної з проведенням робіт із землеустрою, землеоціночних робіт та земельних торгів, здійснюються з такою періодичністю:</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34"/>
      <w:bookmarkEnd w:id="34"/>
      <w:r w:rsidRPr="007F06F2">
        <w:rPr>
          <w:rFonts w:ascii="Times New Roman" w:eastAsia="Times New Roman" w:hAnsi="Times New Roman" w:cs="Times New Roman"/>
          <w:color w:val="000000"/>
          <w:sz w:val="24"/>
          <w:szCs w:val="24"/>
          <w:lang w:eastAsia="ru-RU"/>
        </w:rPr>
        <w:t>з високим ступенем ризику - не частіше ніж один раз на рік;</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35"/>
      <w:bookmarkEnd w:id="35"/>
      <w:r w:rsidRPr="007F06F2">
        <w:rPr>
          <w:rFonts w:ascii="Times New Roman" w:eastAsia="Times New Roman" w:hAnsi="Times New Roman" w:cs="Times New Roman"/>
          <w:color w:val="000000"/>
          <w:sz w:val="24"/>
          <w:szCs w:val="24"/>
          <w:lang w:eastAsia="ru-RU"/>
        </w:rPr>
        <w:t>із середнім ступенем ризику - не частіше ніж один раз на три роки;</w:t>
      </w:r>
    </w:p>
    <w:p w:rsidR="007F06F2" w:rsidRPr="007F06F2" w:rsidRDefault="007F06F2" w:rsidP="007F06F2">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36"/>
      <w:bookmarkEnd w:id="36"/>
      <w:r w:rsidRPr="007F06F2">
        <w:rPr>
          <w:rFonts w:ascii="Times New Roman" w:eastAsia="Times New Roman" w:hAnsi="Times New Roman" w:cs="Times New Roman"/>
          <w:color w:val="000000"/>
          <w:sz w:val="24"/>
          <w:szCs w:val="24"/>
          <w:lang w:eastAsia="ru-RU"/>
        </w:rPr>
        <w:t>з незначним ступенем ризику - не частіше ніж один раз на п’ять років.</w:t>
      </w:r>
    </w:p>
    <w:p w:rsidR="007F06F2" w:rsidRPr="007F06F2" w:rsidRDefault="007F06F2" w:rsidP="007F06F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F06F2">
        <w:rPr>
          <w:rFonts w:ascii="Times New Roman" w:eastAsia="Times New Roman" w:hAnsi="Times New Roman" w:cs="Times New Roman"/>
          <w:b/>
          <w:bCs/>
          <w:sz w:val="36"/>
          <w:szCs w:val="36"/>
          <w:lang w:eastAsia="ru-RU"/>
        </w:rPr>
        <w:t>Публікації документа</w:t>
      </w:r>
    </w:p>
    <w:p w:rsidR="007F06F2" w:rsidRPr="007F06F2" w:rsidRDefault="007F06F2" w:rsidP="007F0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F06F2">
        <w:rPr>
          <w:rFonts w:ascii="Times New Roman" w:eastAsia="Times New Roman" w:hAnsi="Times New Roman" w:cs="Times New Roman"/>
          <w:b/>
          <w:bCs/>
          <w:sz w:val="24"/>
          <w:szCs w:val="24"/>
          <w:lang w:eastAsia="ru-RU"/>
        </w:rPr>
        <w:t>Урядовий кур'єр</w:t>
      </w:r>
      <w:r w:rsidRPr="007F06F2">
        <w:rPr>
          <w:rFonts w:ascii="Times New Roman" w:eastAsia="Times New Roman" w:hAnsi="Times New Roman" w:cs="Times New Roman"/>
          <w:sz w:val="24"/>
          <w:szCs w:val="24"/>
          <w:lang w:eastAsia="ru-RU"/>
        </w:rPr>
        <w:t xml:space="preserve"> від 09.01.2013 — № 4</w:t>
      </w:r>
    </w:p>
    <w:p w:rsidR="007F06F2" w:rsidRPr="007F06F2" w:rsidRDefault="007F06F2" w:rsidP="007F06F2">
      <w:pPr>
        <w:spacing w:after="0" w:line="240" w:lineRule="auto"/>
        <w:rPr>
          <w:rFonts w:ascii="Times New Roman" w:eastAsia="Times New Roman" w:hAnsi="Times New Roman" w:cs="Times New Roman"/>
          <w:sz w:val="24"/>
          <w:szCs w:val="24"/>
          <w:lang w:eastAsia="ru-RU"/>
        </w:rPr>
      </w:pPr>
      <w:r w:rsidRPr="007F06F2">
        <w:rPr>
          <w:rFonts w:ascii="Times New Roman" w:eastAsia="Times New Roman" w:hAnsi="Times New Roman" w:cs="Times New Roman"/>
          <w:sz w:val="24"/>
          <w:szCs w:val="24"/>
          <w:lang w:eastAsia="ru-RU"/>
        </w:rPr>
        <w:pict>
          <v:rect id="_x0000_i1027" style="width:0;height:.75pt" o:hralign="center" o:hrstd="t" o:hrnoshade="t" o:hr="t" fillcolor="black" stroked="f"/>
        </w:pict>
      </w:r>
    </w:p>
    <w:p w:rsidR="007F06F2" w:rsidRPr="007F06F2" w:rsidRDefault="007F06F2" w:rsidP="007F06F2">
      <w:pPr>
        <w:spacing w:after="0" w:line="240" w:lineRule="auto"/>
        <w:jc w:val="center"/>
        <w:rPr>
          <w:rFonts w:ascii="Times New Roman" w:eastAsia="Times New Roman" w:hAnsi="Times New Roman" w:cs="Times New Roman"/>
          <w:sz w:val="24"/>
          <w:szCs w:val="24"/>
          <w:lang w:eastAsia="ru-RU"/>
        </w:rPr>
      </w:pPr>
      <w:r w:rsidRPr="007F06F2">
        <w:rPr>
          <w:rFonts w:ascii="Times New Roman" w:eastAsia="Times New Roman" w:hAnsi="Times New Roman" w:cs="Times New Roman"/>
          <w:color w:val="4C7BAA"/>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1208"/>
        <w:gridCol w:w="7175"/>
        <w:gridCol w:w="972"/>
      </w:tblGrid>
      <w:tr w:rsidR="007F06F2" w:rsidRPr="007F06F2" w:rsidTr="007F06F2">
        <w:trPr>
          <w:trHeight w:val="120"/>
          <w:tblCellSpacing w:w="0" w:type="dxa"/>
        </w:trPr>
        <w:tc>
          <w:tcPr>
            <w:tcW w:w="0" w:type="auto"/>
            <w:gridSpan w:val="3"/>
            <w:vAlign w:val="center"/>
            <w:hideMark/>
          </w:tcPr>
          <w:p w:rsidR="007F06F2" w:rsidRPr="007F06F2" w:rsidRDefault="007F06F2" w:rsidP="007F06F2">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79375"/>
                  <wp:effectExtent l="0" t="0" r="0" b="0"/>
                  <wp:docPr id="4" name="Рисунок 4" descr="http://zakonst.rada.gov.ua/images/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st.rada.gov.ua/images/0/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p>
        </w:tc>
      </w:tr>
      <w:tr w:rsidR="007F06F2" w:rsidRPr="007F06F2" w:rsidTr="007F06F2">
        <w:trPr>
          <w:trHeight w:val="60"/>
          <w:tblCellSpacing w:w="0" w:type="dxa"/>
        </w:trPr>
        <w:tc>
          <w:tcPr>
            <w:tcW w:w="0" w:type="auto"/>
            <w:gridSpan w:val="3"/>
            <w:shd w:val="clear" w:color="auto" w:fill="3778BC"/>
            <w:vAlign w:val="center"/>
            <w:hideMark/>
          </w:tcPr>
          <w:p w:rsidR="007F06F2" w:rsidRPr="007F06F2" w:rsidRDefault="007F06F2" w:rsidP="007F06F2">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40005"/>
                  <wp:effectExtent l="0" t="0" r="0" b="0"/>
                  <wp:docPr id="3" name="Рисунок 3" descr="http://zakonst.rada.gov.ua/images/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konst.rada.gov.ua/images/0/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40005"/>
                          </a:xfrm>
                          <a:prstGeom prst="rect">
                            <a:avLst/>
                          </a:prstGeom>
                          <a:noFill/>
                          <a:ln>
                            <a:noFill/>
                          </a:ln>
                        </pic:spPr>
                      </pic:pic>
                    </a:graphicData>
                  </a:graphic>
                </wp:inline>
              </w:drawing>
            </w:r>
          </w:p>
        </w:tc>
      </w:tr>
      <w:tr w:rsidR="007F06F2" w:rsidRPr="007F06F2" w:rsidTr="007F06F2">
        <w:trPr>
          <w:trHeight w:val="120"/>
          <w:tblCellSpacing w:w="0" w:type="dxa"/>
        </w:trPr>
        <w:tc>
          <w:tcPr>
            <w:tcW w:w="0" w:type="auto"/>
            <w:gridSpan w:val="3"/>
            <w:shd w:val="clear" w:color="auto" w:fill="DFE7F0"/>
            <w:vAlign w:val="center"/>
            <w:hideMark/>
          </w:tcPr>
          <w:p w:rsidR="007F06F2" w:rsidRPr="007F06F2" w:rsidRDefault="007F06F2" w:rsidP="007F06F2">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79375"/>
                  <wp:effectExtent l="0" t="0" r="0" b="0"/>
                  <wp:docPr id="2" name="Рисунок 2" descr="http://zakonst.rada.gov.ua/images/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0/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p>
        </w:tc>
      </w:tr>
      <w:tr w:rsidR="007F06F2" w:rsidRPr="007F06F2" w:rsidTr="007F06F2">
        <w:trPr>
          <w:trHeight w:val="450"/>
          <w:tblCellSpacing w:w="0" w:type="dxa"/>
        </w:trPr>
        <w:tc>
          <w:tcPr>
            <w:tcW w:w="0" w:type="auto"/>
            <w:noWrap/>
            <w:vAlign w:val="center"/>
            <w:hideMark/>
          </w:tcPr>
          <w:p w:rsidR="007F06F2" w:rsidRPr="007F06F2" w:rsidRDefault="007F06F2" w:rsidP="007F06F2">
            <w:pPr>
              <w:spacing w:after="0" w:line="240" w:lineRule="auto"/>
              <w:rPr>
                <w:rFonts w:ascii="Times New Roman" w:eastAsia="Times New Roman" w:hAnsi="Times New Roman" w:cs="Times New Roman"/>
                <w:sz w:val="24"/>
                <w:szCs w:val="24"/>
                <w:lang w:eastAsia="ru-RU"/>
              </w:rPr>
            </w:pPr>
            <w:r w:rsidRPr="007F06F2">
              <w:rPr>
                <w:rFonts w:ascii="Times New Roman" w:eastAsia="Times New Roman" w:hAnsi="Times New Roman" w:cs="Times New Roman"/>
                <w:sz w:val="24"/>
                <w:szCs w:val="24"/>
                <w:lang w:eastAsia="ru-RU"/>
              </w:rPr>
              <w:t xml:space="preserve"> [ </w:t>
            </w:r>
            <w:hyperlink r:id="rId13" w:history="1">
              <w:r w:rsidRPr="007F06F2">
                <w:rPr>
                  <w:rFonts w:ascii="Times New Roman" w:eastAsia="Times New Roman" w:hAnsi="Times New Roman" w:cs="Times New Roman"/>
                  <w:color w:val="0000FF"/>
                  <w:sz w:val="24"/>
                  <w:szCs w:val="24"/>
                  <w:u w:val="single"/>
                  <w:lang w:eastAsia="ru-RU"/>
                </w:rPr>
                <w:t>головна</w:t>
              </w:r>
            </w:hyperlink>
            <w:r w:rsidRPr="007F06F2">
              <w:rPr>
                <w:rFonts w:ascii="Times New Roman" w:eastAsia="Times New Roman" w:hAnsi="Times New Roman" w:cs="Times New Roman"/>
                <w:sz w:val="24"/>
                <w:szCs w:val="24"/>
                <w:lang w:eastAsia="ru-RU"/>
              </w:rPr>
              <w:t xml:space="preserve"> ] </w:t>
            </w:r>
          </w:p>
        </w:tc>
        <w:tc>
          <w:tcPr>
            <w:tcW w:w="5000" w:type="pct"/>
            <w:vAlign w:val="center"/>
            <w:hideMark/>
          </w:tcPr>
          <w:p w:rsidR="007F06F2" w:rsidRPr="007F06F2" w:rsidRDefault="007F06F2" w:rsidP="007F06F2">
            <w:pPr>
              <w:spacing w:after="0" w:line="240" w:lineRule="auto"/>
              <w:jc w:val="center"/>
              <w:rPr>
                <w:rFonts w:ascii="Times New Roman" w:eastAsia="Times New Roman" w:hAnsi="Times New Roman" w:cs="Times New Roman"/>
                <w:sz w:val="24"/>
                <w:szCs w:val="24"/>
                <w:lang w:eastAsia="ru-RU"/>
              </w:rPr>
            </w:pPr>
            <w:r w:rsidRPr="007F06F2">
              <w:rPr>
                <w:rFonts w:ascii="Verdana" w:eastAsia="Times New Roman" w:hAnsi="Verdana" w:cs="Times New Roman"/>
                <w:color w:val="004386"/>
                <w:sz w:val="17"/>
                <w:szCs w:val="17"/>
                <w:lang w:eastAsia="ru-RU"/>
              </w:rPr>
              <w:t>програмно-технічна підтримка — Управління комп'ютеризованих систем © 1996-2013</w:t>
            </w:r>
          </w:p>
        </w:tc>
        <w:tc>
          <w:tcPr>
            <w:tcW w:w="0" w:type="auto"/>
            <w:noWrap/>
            <w:vAlign w:val="center"/>
            <w:hideMark/>
          </w:tcPr>
          <w:p w:rsidR="007F06F2" w:rsidRPr="007F06F2" w:rsidRDefault="007F06F2" w:rsidP="007F06F2">
            <w:pPr>
              <w:spacing w:after="0" w:line="240" w:lineRule="auto"/>
              <w:rPr>
                <w:rFonts w:ascii="Times New Roman" w:eastAsia="Times New Roman" w:hAnsi="Times New Roman" w:cs="Times New Roman"/>
                <w:sz w:val="24"/>
                <w:szCs w:val="24"/>
                <w:lang w:eastAsia="ru-RU"/>
              </w:rPr>
            </w:pPr>
            <w:r w:rsidRPr="007F06F2">
              <w:rPr>
                <w:rFonts w:ascii="Times New Roman" w:eastAsia="Times New Roman" w:hAnsi="Times New Roman" w:cs="Times New Roman"/>
                <w:sz w:val="24"/>
                <w:szCs w:val="24"/>
                <w:lang w:eastAsia="ru-RU"/>
              </w:rPr>
              <w:t xml:space="preserve"> [ </w:t>
            </w:r>
            <w:hyperlink r:id="rId14" w:anchor="top" w:history="1">
              <w:r w:rsidRPr="007F06F2">
                <w:rPr>
                  <w:rFonts w:ascii="Times New Roman" w:eastAsia="Times New Roman" w:hAnsi="Times New Roman" w:cs="Times New Roman"/>
                  <w:color w:val="0000FF"/>
                  <w:sz w:val="24"/>
                  <w:szCs w:val="24"/>
                  <w:u w:val="single"/>
                  <w:lang w:eastAsia="ru-RU"/>
                </w:rPr>
                <w:t>вгору</w:t>
              </w:r>
            </w:hyperlink>
            <w:r w:rsidRPr="007F06F2">
              <w:rPr>
                <w:rFonts w:ascii="Times New Roman" w:eastAsia="Times New Roman" w:hAnsi="Times New Roman" w:cs="Times New Roman"/>
                <w:sz w:val="24"/>
                <w:szCs w:val="24"/>
                <w:lang w:eastAsia="ru-RU"/>
              </w:rPr>
              <w:t xml:space="preserve"> ] </w:t>
            </w:r>
          </w:p>
        </w:tc>
      </w:tr>
      <w:tr w:rsidR="007F06F2" w:rsidRPr="007F06F2" w:rsidTr="007F06F2">
        <w:trPr>
          <w:trHeight w:val="120"/>
          <w:tblCellSpacing w:w="0" w:type="dxa"/>
        </w:trPr>
        <w:tc>
          <w:tcPr>
            <w:tcW w:w="0" w:type="auto"/>
            <w:gridSpan w:val="3"/>
            <w:vAlign w:val="center"/>
            <w:hideMark/>
          </w:tcPr>
          <w:p w:rsidR="007F06F2" w:rsidRPr="007F06F2" w:rsidRDefault="007F06F2" w:rsidP="007F06F2">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79375"/>
                  <wp:effectExtent l="0" t="0" r="0" b="0"/>
                  <wp:docPr id="1" name="Рисунок 1" descr="http://zakonst.rada.gov.ua/images/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st.rada.gov.ua/images/0/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p>
        </w:tc>
      </w:tr>
    </w:tbl>
    <w:p w:rsidR="00CD34A6" w:rsidRDefault="00CD34A6">
      <w:bookmarkStart w:id="37" w:name="_GoBack"/>
      <w:bookmarkEnd w:id="37"/>
    </w:p>
    <w:sectPr w:rsidR="00CD3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50A0"/>
    <w:multiLevelType w:val="multilevel"/>
    <w:tmpl w:val="8AC2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F2"/>
    <w:rsid w:val="007F06F2"/>
    <w:rsid w:val="00CD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06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06F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F06F2"/>
    <w:rPr>
      <w:color w:val="0000FF"/>
      <w:u w:val="single"/>
    </w:rPr>
  </w:style>
  <w:style w:type="paragraph" w:customStyle="1" w:styleId="rvps2">
    <w:name w:val="rvps2"/>
    <w:basedOn w:val="a"/>
    <w:rsid w:val="007F06F2"/>
    <w:pPr>
      <w:spacing w:after="150" w:line="240" w:lineRule="auto"/>
      <w:ind w:firstLine="450"/>
      <w:jc w:val="both"/>
    </w:pPr>
    <w:rPr>
      <w:rFonts w:ascii="Times New Roman" w:eastAsia="Times New Roman" w:hAnsi="Times New Roman" w:cs="Times New Roman"/>
      <w:sz w:val="24"/>
      <w:szCs w:val="24"/>
      <w:lang w:eastAsia="ru-RU"/>
    </w:rPr>
  </w:style>
  <w:style w:type="paragraph" w:customStyle="1" w:styleId="rvps4">
    <w:name w:val="rvps4"/>
    <w:basedOn w:val="a"/>
    <w:rsid w:val="007F06F2"/>
    <w:pPr>
      <w:spacing w:before="300" w:after="150" w:line="240" w:lineRule="auto"/>
      <w:jc w:val="center"/>
    </w:pPr>
    <w:rPr>
      <w:rFonts w:ascii="Times New Roman" w:eastAsia="Times New Roman" w:hAnsi="Times New Roman" w:cs="Times New Roman"/>
      <w:sz w:val="24"/>
      <w:szCs w:val="24"/>
      <w:lang w:eastAsia="ru-RU"/>
    </w:rPr>
  </w:style>
  <w:style w:type="paragraph" w:customStyle="1" w:styleId="rvps6">
    <w:name w:val="rvps6"/>
    <w:basedOn w:val="a"/>
    <w:rsid w:val="007F06F2"/>
    <w:pPr>
      <w:spacing w:before="300" w:after="450" w:line="240" w:lineRule="auto"/>
      <w:ind w:left="450" w:right="450"/>
      <w:jc w:val="center"/>
    </w:pPr>
    <w:rPr>
      <w:rFonts w:ascii="Times New Roman" w:eastAsia="Times New Roman" w:hAnsi="Times New Roman" w:cs="Times New Roman"/>
      <w:sz w:val="24"/>
      <w:szCs w:val="24"/>
      <w:lang w:eastAsia="ru-RU"/>
    </w:rPr>
  </w:style>
  <w:style w:type="paragraph" w:customStyle="1" w:styleId="rvps7">
    <w:name w:val="rvps7"/>
    <w:basedOn w:val="a"/>
    <w:rsid w:val="007F06F2"/>
    <w:pPr>
      <w:spacing w:before="150" w:after="150" w:line="240" w:lineRule="auto"/>
      <w:ind w:left="450" w:right="450"/>
      <w:jc w:val="center"/>
    </w:pPr>
    <w:rPr>
      <w:rFonts w:ascii="Times New Roman" w:eastAsia="Times New Roman" w:hAnsi="Times New Roman" w:cs="Times New Roman"/>
      <w:sz w:val="24"/>
      <w:szCs w:val="24"/>
      <w:lang w:eastAsia="ru-RU"/>
    </w:rPr>
  </w:style>
  <w:style w:type="paragraph" w:customStyle="1" w:styleId="rvps8">
    <w:name w:val="rvps8"/>
    <w:basedOn w:val="a"/>
    <w:rsid w:val="007F06F2"/>
    <w:pPr>
      <w:spacing w:after="150" w:line="240" w:lineRule="auto"/>
      <w:jc w:val="both"/>
    </w:pPr>
    <w:rPr>
      <w:rFonts w:ascii="Times New Roman" w:eastAsia="Times New Roman" w:hAnsi="Times New Roman" w:cs="Times New Roman"/>
      <w:sz w:val="24"/>
      <w:szCs w:val="24"/>
      <w:lang w:eastAsia="ru-RU"/>
    </w:rPr>
  </w:style>
  <w:style w:type="paragraph" w:customStyle="1" w:styleId="rvps12">
    <w:name w:val="rvps12"/>
    <w:basedOn w:val="a"/>
    <w:rsid w:val="007F06F2"/>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rvps14">
    <w:name w:val="rvps14"/>
    <w:basedOn w:val="a"/>
    <w:rsid w:val="007F06F2"/>
    <w:pPr>
      <w:spacing w:before="150" w:after="150"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F06F2"/>
    <w:pPr>
      <w:spacing w:before="300" w:after="0" w:line="240" w:lineRule="auto"/>
      <w:jc w:val="right"/>
    </w:pPr>
    <w:rPr>
      <w:rFonts w:ascii="Times New Roman" w:eastAsia="Times New Roman" w:hAnsi="Times New Roman" w:cs="Times New Roman"/>
      <w:sz w:val="24"/>
      <w:szCs w:val="24"/>
      <w:lang w:eastAsia="ru-RU"/>
    </w:rPr>
  </w:style>
  <w:style w:type="paragraph" w:customStyle="1" w:styleId="rvps17">
    <w:name w:val="rvps17"/>
    <w:basedOn w:val="a"/>
    <w:rsid w:val="007F06F2"/>
    <w:pPr>
      <w:spacing w:before="300" w:after="0" w:line="240" w:lineRule="auto"/>
      <w:ind w:left="450" w:right="450"/>
      <w:jc w:val="center"/>
    </w:pPr>
    <w:rPr>
      <w:rFonts w:ascii="Times New Roman" w:eastAsia="Times New Roman" w:hAnsi="Times New Roman" w:cs="Times New Roman"/>
      <w:sz w:val="24"/>
      <w:szCs w:val="24"/>
      <w:lang w:eastAsia="ru-RU"/>
    </w:rPr>
  </w:style>
  <w:style w:type="character" w:customStyle="1" w:styleId="rvts0">
    <w:name w:val="rvts0"/>
    <w:basedOn w:val="a0"/>
    <w:rsid w:val="007F06F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9">
    <w:name w:val="rvts9"/>
    <w:basedOn w:val="a0"/>
    <w:rsid w:val="007F06F2"/>
    <w:rPr>
      <w:rFonts w:ascii="Times New Roman" w:hAnsi="Times New Roman" w:cs="Times New Roman" w:hint="default"/>
      <w:b/>
      <w:bCs/>
      <w:i w:val="0"/>
      <w:iCs w:val="0"/>
      <w:strike w:val="0"/>
      <w:dstrike w:val="0"/>
      <w:color w:val="000000"/>
      <w:sz w:val="24"/>
      <w:szCs w:val="24"/>
      <w:u w:val="none"/>
      <w:effect w:val="none"/>
    </w:rPr>
  </w:style>
  <w:style w:type="character" w:customStyle="1" w:styleId="rvts23">
    <w:name w:val="rvts23"/>
    <w:basedOn w:val="a0"/>
    <w:rsid w:val="007F06F2"/>
    <w:rPr>
      <w:rFonts w:ascii="Times New Roman" w:hAnsi="Times New Roman" w:cs="Times New Roman" w:hint="default"/>
      <w:b/>
      <w:bCs/>
      <w:i w:val="0"/>
      <w:iCs w:val="0"/>
      <w:strike w:val="0"/>
      <w:dstrike w:val="0"/>
      <w:color w:val="000000"/>
      <w:sz w:val="32"/>
      <w:szCs w:val="32"/>
      <w:u w:val="none"/>
      <w:effect w:val="none"/>
    </w:rPr>
  </w:style>
  <w:style w:type="character" w:customStyle="1" w:styleId="rvts44">
    <w:name w:val="rvts44"/>
    <w:basedOn w:val="a0"/>
    <w:rsid w:val="007F06F2"/>
    <w:rPr>
      <w:rFonts w:ascii="Times New Roman" w:hAnsi="Times New Roman" w:cs="Times New Roman" w:hint="default"/>
      <w:b/>
      <w:bCs/>
      <w:i w:val="0"/>
      <w:iCs w:val="0"/>
      <w:strike w:val="0"/>
      <w:dstrike w:val="0"/>
      <w:color w:val="000000"/>
      <w:sz w:val="24"/>
      <w:szCs w:val="24"/>
      <w:u w:val="none"/>
      <w:effect w:val="none"/>
    </w:rPr>
  </w:style>
  <w:style w:type="character" w:customStyle="1" w:styleId="rvts52">
    <w:name w:val="rvts52"/>
    <w:basedOn w:val="a0"/>
    <w:rsid w:val="007F06F2"/>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64">
    <w:name w:val="rvts64"/>
    <w:basedOn w:val="a0"/>
    <w:rsid w:val="007F06F2"/>
    <w:rPr>
      <w:rFonts w:ascii="Times New Roman" w:hAnsi="Times New Roman" w:cs="Times New Roman" w:hint="default"/>
      <w:b/>
      <w:bCs/>
      <w:i w:val="0"/>
      <w:iCs w:val="0"/>
      <w:strike w:val="0"/>
      <w:dstrike w:val="0"/>
      <w:color w:val="000000"/>
      <w:sz w:val="36"/>
      <w:szCs w:val="3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06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06F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F06F2"/>
    <w:rPr>
      <w:color w:val="0000FF"/>
      <w:u w:val="single"/>
    </w:rPr>
  </w:style>
  <w:style w:type="paragraph" w:customStyle="1" w:styleId="rvps2">
    <w:name w:val="rvps2"/>
    <w:basedOn w:val="a"/>
    <w:rsid w:val="007F06F2"/>
    <w:pPr>
      <w:spacing w:after="150" w:line="240" w:lineRule="auto"/>
      <w:ind w:firstLine="450"/>
      <w:jc w:val="both"/>
    </w:pPr>
    <w:rPr>
      <w:rFonts w:ascii="Times New Roman" w:eastAsia="Times New Roman" w:hAnsi="Times New Roman" w:cs="Times New Roman"/>
      <w:sz w:val="24"/>
      <w:szCs w:val="24"/>
      <w:lang w:eastAsia="ru-RU"/>
    </w:rPr>
  </w:style>
  <w:style w:type="paragraph" w:customStyle="1" w:styleId="rvps4">
    <w:name w:val="rvps4"/>
    <w:basedOn w:val="a"/>
    <w:rsid w:val="007F06F2"/>
    <w:pPr>
      <w:spacing w:before="300" w:after="150" w:line="240" w:lineRule="auto"/>
      <w:jc w:val="center"/>
    </w:pPr>
    <w:rPr>
      <w:rFonts w:ascii="Times New Roman" w:eastAsia="Times New Roman" w:hAnsi="Times New Roman" w:cs="Times New Roman"/>
      <w:sz w:val="24"/>
      <w:szCs w:val="24"/>
      <w:lang w:eastAsia="ru-RU"/>
    </w:rPr>
  </w:style>
  <w:style w:type="paragraph" w:customStyle="1" w:styleId="rvps6">
    <w:name w:val="rvps6"/>
    <w:basedOn w:val="a"/>
    <w:rsid w:val="007F06F2"/>
    <w:pPr>
      <w:spacing w:before="300" w:after="450" w:line="240" w:lineRule="auto"/>
      <w:ind w:left="450" w:right="450"/>
      <w:jc w:val="center"/>
    </w:pPr>
    <w:rPr>
      <w:rFonts w:ascii="Times New Roman" w:eastAsia="Times New Roman" w:hAnsi="Times New Roman" w:cs="Times New Roman"/>
      <w:sz w:val="24"/>
      <w:szCs w:val="24"/>
      <w:lang w:eastAsia="ru-RU"/>
    </w:rPr>
  </w:style>
  <w:style w:type="paragraph" w:customStyle="1" w:styleId="rvps7">
    <w:name w:val="rvps7"/>
    <w:basedOn w:val="a"/>
    <w:rsid w:val="007F06F2"/>
    <w:pPr>
      <w:spacing w:before="150" w:after="150" w:line="240" w:lineRule="auto"/>
      <w:ind w:left="450" w:right="450"/>
      <w:jc w:val="center"/>
    </w:pPr>
    <w:rPr>
      <w:rFonts w:ascii="Times New Roman" w:eastAsia="Times New Roman" w:hAnsi="Times New Roman" w:cs="Times New Roman"/>
      <w:sz w:val="24"/>
      <w:szCs w:val="24"/>
      <w:lang w:eastAsia="ru-RU"/>
    </w:rPr>
  </w:style>
  <w:style w:type="paragraph" w:customStyle="1" w:styleId="rvps8">
    <w:name w:val="rvps8"/>
    <w:basedOn w:val="a"/>
    <w:rsid w:val="007F06F2"/>
    <w:pPr>
      <w:spacing w:after="150" w:line="240" w:lineRule="auto"/>
      <w:jc w:val="both"/>
    </w:pPr>
    <w:rPr>
      <w:rFonts w:ascii="Times New Roman" w:eastAsia="Times New Roman" w:hAnsi="Times New Roman" w:cs="Times New Roman"/>
      <w:sz w:val="24"/>
      <w:szCs w:val="24"/>
      <w:lang w:eastAsia="ru-RU"/>
    </w:rPr>
  </w:style>
  <w:style w:type="paragraph" w:customStyle="1" w:styleId="rvps12">
    <w:name w:val="rvps12"/>
    <w:basedOn w:val="a"/>
    <w:rsid w:val="007F06F2"/>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rvps14">
    <w:name w:val="rvps14"/>
    <w:basedOn w:val="a"/>
    <w:rsid w:val="007F06F2"/>
    <w:pPr>
      <w:spacing w:before="150" w:after="150"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F06F2"/>
    <w:pPr>
      <w:spacing w:before="300" w:after="0" w:line="240" w:lineRule="auto"/>
      <w:jc w:val="right"/>
    </w:pPr>
    <w:rPr>
      <w:rFonts w:ascii="Times New Roman" w:eastAsia="Times New Roman" w:hAnsi="Times New Roman" w:cs="Times New Roman"/>
      <w:sz w:val="24"/>
      <w:szCs w:val="24"/>
      <w:lang w:eastAsia="ru-RU"/>
    </w:rPr>
  </w:style>
  <w:style w:type="paragraph" w:customStyle="1" w:styleId="rvps17">
    <w:name w:val="rvps17"/>
    <w:basedOn w:val="a"/>
    <w:rsid w:val="007F06F2"/>
    <w:pPr>
      <w:spacing w:before="300" w:after="0" w:line="240" w:lineRule="auto"/>
      <w:ind w:left="450" w:right="450"/>
      <w:jc w:val="center"/>
    </w:pPr>
    <w:rPr>
      <w:rFonts w:ascii="Times New Roman" w:eastAsia="Times New Roman" w:hAnsi="Times New Roman" w:cs="Times New Roman"/>
      <w:sz w:val="24"/>
      <w:szCs w:val="24"/>
      <w:lang w:eastAsia="ru-RU"/>
    </w:rPr>
  </w:style>
  <w:style w:type="character" w:customStyle="1" w:styleId="rvts0">
    <w:name w:val="rvts0"/>
    <w:basedOn w:val="a0"/>
    <w:rsid w:val="007F06F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9">
    <w:name w:val="rvts9"/>
    <w:basedOn w:val="a0"/>
    <w:rsid w:val="007F06F2"/>
    <w:rPr>
      <w:rFonts w:ascii="Times New Roman" w:hAnsi="Times New Roman" w:cs="Times New Roman" w:hint="default"/>
      <w:b/>
      <w:bCs/>
      <w:i w:val="0"/>
      <w:iCs w:val="0"/>
      <w:strike w:val="0"/>
      <w:dstrike w:val="0"/>
      <w:color w:val="000000"/>
      <w:sz w:val="24"/>
      <w:szCs w:val="24"/>
      <w:u w:val="none"/>
      <w:effect w:val="none"/>
    </w:rPr>
  </w:style>
  <w:style w:type="character" w:customStyle="1" w:styleId="rvts23">
    <w:name w:val="rvts23"/>
    <w:basedOn w:val="a0"/>
    <w:rsid w:val="007F06F2"/>
    <w:rPr>
      <w:rFonts w:ascii="Times New Roman" w:hAnsi="Times New Roman" w:cs="Times New Roman" w:hint="default"/>
      <w:b/>
      <w:bCs/>
      <w:i w:val="0"/>
      <w:iCs w:val="0"/>
      <w:strike w:val="0"/>
      <w:dstrike w:val="0"/>
      <w:color w:val="000000"/>
      <w:sz w:val="32"/>
      <w:szCs w:val="32"/>
      <w:u w:val="none"/>
      <w:effect w:val="none"/>
    </w:rPr>
  </w:style>
  <w:style w:type="character" w:customStyle="1" w:styleId="rvts44">
    <w:name w:val="rvts44"/>
    <w:basedOn w:val="a0"/>
    <w:rsid w:val="007F06F2"/>
    <w:rPr>
      <w:rFonts w:ascii="Times New Roman" w:hAnsi="Times New Roman" w:cs="Times New Roman" w:hint="default"/>
      <w:b/>
      <w:bCs/>
      <w:i w:val="0"/>
      <w:iCs w:val="0"/>
      <w:strike w:val="0"/>
      <w:dstrike w:val="0"/>
      <w:color w:val="000000"/>
      <w:sz w:val="24"/>
      <w:szCs w:val="24"/>
      <w:u w:val="none"/>
      <w:effect w:val="none"/>
    </w:rPr>
  </w:style>
  <w:style w:type="character" w:customStyle="1" w:styleId="rvts52">
    <w:name w:val="rvts52"/>
    <w:basedOn w:val="a0"/>
    <w:rsid w:val="007F06F2"/>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64">
    <w:name w:val="rvts64"/>
    <w:basedOn w:val="a0"/>
    <w:rsid w:val="007F06F2"/>
    <w:rPr>
      <w:rFonts w:ascii="Times New Roman" w:hAnsi="Times New Roman" w:cs="Times New Roman" w:hint="default"/>
      <w:b/>
      <w:bCs/>
      <w:i w:val="0"/>
      <w:iCs w:val="0"/>
      <w:strike w:val="0"/>
      <w:dstrike w:val="0"/>
      <w:color w:val="000000"/>
      <w:sz w:val="36"/>
      <w:szCs w:val="3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6830">
      <w:bodyDiv w:val="1"/>
      <w:marLeft w:val="0"/>
      <w:marRight w:val="0"/>
      <w:marTop w:val="0"/>
      <w:marBottom w:val="0"/>
      <w:divBdr>
        <w:top w:val="none" w:sz="0" w:space="0" w:color="auto"/>
        <w:left w:val="none" w:sz="0" w:space="0" w:color="auto"/>
        <w:bottom w:val="none" w:sz="0" w:space="0" w:color="auto"/>
        <w:right w:val="none" w:sz="0" w:space="0" w:color="auto"/>
      </w:divBdr>
      <w:divsChild>
        <w:div w:id="608127642">
          <w:marLeft w:val="0"/>
          <w:marRight w:val="0"/>
          <w:marTop w:val="0"/>
          <w:marBottom w:val="0"/>
          <w:divBdr>
            <w:top w:val="none" w:sz="0" w:space="0" w:color="auto"/>
            <w:left w:val="none" w:sz="0" w:space="0" w:color="auto"/>
            <w:bottom w:val="none" w:sz="0" w:space="0" w:color="auto"/>
            <w:right w:val="none" w:sz="0" w:space="0" w:color="auto"/>
          </w:divBdr>
          <w:divsChild>
            <w:div w:id="1092314630">
              <w:marLeft w:val="0"/>
              <w:marRight w:val="0"/>
              <w:marTop w:val="0"/>
              <w:marBottom w:val="0"/>
              <w:divBdr>
                <w:top w:val="none" w:sz="0" w:space="0" w:color="auto"/>
                <w:left w:val="none" w:sz="0" w:space="0" w:color="auto"/>
                <w:bottom w:val="none" w:sz="0" w:space="0" w:color="auto"/>
                <w:right w:val="none" w:sz="0" w:space="0" w:color="auto"/>
              </w:divBdr>
              <w:divsChild>
                <w:div w:id="804547967">
                  <w:marLeft w:val="0"/>
                  <w:marRight w:val="0"/>
                  <w:marTop w:val="0"/>
                  <w:marBottom w:val="0"/>
                  <w:divBdr>
                    <w:top w:val="none" w:sz="0" w:space="0" w:color="auto"/>
                    <w:left w:val="none" w:sz="0" w:space="0" w:color="auto"/>
                    <w:bottom w:val="none" w:sz="0" w:space="0" w:color="auto"/>
                    <w:right w:val="none" w:sz="0" w:space="0" w:color="auto"/>
                  </w:divBdr>
                  <w:divsChild>
                    <w:div w:id="30958738">
                      <w:marLeft w:val="0"/>
                      <w:marRight w:val="0"/>
                      <w:marTop w:val="0"/>
                      <w:marBottom w:val="150"/>
                      <w:divBdr>
                        <w:top w:val="none" w:sz="0" w:space="0" w:color="auto"/>
                        <w:left w:val="none" w:sz="0" w:space="0" w:color="auto"/>
                        <w:bottom w:val="none" w:sz="0" w:space="0" w:color="auto"/>
                        <w:right w:val="none" w:sz="0" w:space="0" w:color="auto"/>
                      </w:divBdr>
                    </w:div>
                    <w:div w:id="2070569602">
                      <w:marLeft w:val="0"/>
                      <w:marRight w:val="0"/>
                      <w:marTop w:val="0"/>
                      <w:marBottom w:val="150"/>
                      <w:divBdr>
                        <w:top w:val="none" w:sz="0" w:space="0" w:color="auto"/>
                        <w:left w:val="none" w:sz="0" w:space="0" w:color="auto"/>
                        <w:bottom w:val="none" w:sz="0" w:space="0" w:color="auto"/>
                        <w:right w:val="none" w:sz="0" w:space="0" w:color="auto"/>
                      </w:divBdr>
                    </w:div>
                    <w:div w:id="2217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zakon1.rada.gov.ua/laws/show"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zakon1.rada.gov.ua/laws/show/1207-2012-%D0%BF/print13578178831557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rada.gov.ua/go/1207-2012-%D0%BF" TargetMode="External"/><Relationship Id="rId11" Type="http://schemas.openxmlformats.org/officeDocument/2006/relationships/hyperlink" Target="http://zakon1.rada.gov.ua/laws/show/877-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zakon.rada.gov.ua" TargetMode="External"/><Relationship Id="rId14" Type="http://schemas.openxmlformats.org/officeDocument/2006/relationships/hyperlink" Target="http://zakon1.rada.gov.ua/laws/show/1207-2012-%D0%BF/print1357817883155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2013-01-10T11:56:00Z</dcterms:created>
  <dcterms:modified xsi:type="dcterms:W3CDTF">2013-01-10T11:56:00Z</dcterms:modified>
</cp:coreProperties>
</file>