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22"/>
        <w:gridCol w:w="3675"/>
        <w:gridCol w:w="5258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ВИПРАВЛЕННЯ ТЕХНІЧНОЇ ПОМИЛКИ У ВІДОМОСТЯХ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КАДАСТРУ, ДОПУЩЕНОЇ НЕ З ВИНИ ОРГАНУ, ЩО ЗДІЙСНЮЄ ЙОГО ВЕДЕННЯ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="00CE590B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е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 w:rsidR="00CE590B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 w:rsidR="00CE590B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B629F0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E590B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  суб’єкта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E590B" w:rsidRPr="00E431D4" w:rsidRDefault="00CE590B" w:rsidP="00E37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E590B" w:rsidRPr="00577254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E431D4" w:rsidRDefault="00577254" w:rsidP="001367B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444444"/>
                <w:sz w:val="19"/>
                <w:szCs w:val="19"/>
                <w:lang w:val="uk-UA"/>
              </w:rPr>
              <w:t xml:space="preserve">( 06136 ) 2-16-51 E-mail: </w:t>
            </w:r>
            <w:hyperlink r:id="rId5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необхідність виправлення технічних помилок у документах, що стали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Заява у паперовій формі заінтересованої особи про виправлення технічних помилок, допущених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за формою, що додається**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Документи з виправленими технічними помилками (в електронній та паперовій формі), які є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ідставою для виправлення відповідних технічних помилок у Державному земельному кадастрі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4. 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виправлення технічних помилок, допущених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виправлення технічних помилок у документах, що стали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Надсилається поштою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повідомлення про необхідність виправлення технічних помилок у документах, що стали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технічних помилок, допущених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Державного земельного кадастру наведено у додатку 2 до Типової інформаційної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виправлення технічної помилки у відомостях Державного земельного кадастру, яка була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допущена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9655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ПОВІДОМЛЕННЯ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необхідність виправлення технічних помилок у документах, що стали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827"/>
        <w:gridCol w:w="4828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517C78" w:rsidRPr="00517C78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  <w:proofErr w:type="gramEnd"/>
          </w:p>
        </w:tc>
      </w:tr>
      <w:tr w:rsidR="00517C78" w:rsidRPr="00517C78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розглянуто повідомлення про виявлення технічної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їх внесення, але у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(назва документів,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виявлено технічну помилку,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технічних помилок у документах, що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152"/>
        <w:gridCol w:w="2800"/>
        <w:gridCol w:w="2703"/>
      </w:tblGrid>
      <w:tr w:rsidR="00517C78" w:rsidRPr="00517C78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(ініціали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виправлення технічної помилки у відомостях Державного земельного кадастру, яка була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допущена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не з вини органу, що здійснює його ведення</w:t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021"/>
      </w:tblGrid>
      <w:tr w:rsidR="00517C78" w:rsidRPr="00517C78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 кадастровому реєстратору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 його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територіального органу)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 / 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номер та серія, дата видачі), та 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1367B5" w:rsidRDefault="001367B5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367B5" w:rsidRDefault="001367B5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517C78" w:rsidRPr="00517C78" w:rsidRDefault="00517C78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виправлення технічних помилок, допущених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ід час ведення Державного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прошу виправити технічну помилку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відомостях Державного земельного кадастру,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________________________________________________________________,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помилки)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допущену та виправлену у документах, на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необхідність виправлення технічних помилок у документах, що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виявлення технічної помилки, допущеної у відомостях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 органом, що здійснює його ведення.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 “___” __________ 20__ р. з реєстраційним номером _____________________________.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додаються: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/ посвідчені копії документів, на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з виправленими технічними помилками, які є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ідставою для виправлення відповідних технічних помилок у Державному земельному кадастрі 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документ, що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800"/>
        <w:gridCol w:w="1738"/>
        <w:gridCol w:w="1062"/>
        <w:gridCol w:w="4055"/>
      </w:tblGrid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517C78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517C78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E590B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У ФОРМІ ВИТЯГУ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Головне управління Держгеокадастру у м. Києві, міжрегіональне, міськрайонні структурні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ідрозділи та структурні підрозділи в районах, містах головних управлінь Держгеокадастру в областях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>Виконавчого комітету Веселівської селищної ради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490F2A" w:rsidRDefault="00B629F0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E590B" w:rsidRPr="00490F2A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E590B" w:rsidRPr="00577254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77254" w:rsidRDefault="00577254" w:rsidP="001367B5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( 06136 ) 2-16-51 E-mail: </w:t>
            </w:r>
            <w:hyperlink r:id="rId6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ідпису чи іншого альтернативного засобу ідентифікації особи).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E590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  земельну ділянку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е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>Виконавчого комітету Веселівської селищної ради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B629F0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472E4" w:rsidRPr="00577254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77254" w:rsidRDefault="0057725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( 06136 ) 2-16-51 E-mail: </w:t>
            </w:r>
            <w:hyperlink r:id="rId7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наведена у додатку до  Типової інформаційної картки адміністративної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6C5327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я, дата видачі), та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 землі в межах території адміністративно-територіальної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на земельну ділянку новому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C472E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517C78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8521D4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е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>Виконавчого комітету Веселівської селищної ради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B629F0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472E4" w:rsidRPr="00577254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77254" w:rsidRDefault="0057725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( 06136 ) 2-16-51 E-mail: </w:t>
            </w:r>
            <w:hyperlink r:id="rId8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517C78" w:rsidRPr="00517C78" w:rsidRDefault="00517C78" w:rsidP="00B831EE">
      <w:pPr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23"/>
        <w:gridCol w:w="3516"/>
        <w:gridCol w:w="5416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C472E4" w:rsidP="00C472E4">
            <w:pPr>
              <w:spacing w:after="30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517C78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>Виконавчого комітету Веселівської селищної ради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B629F0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472E4" w:rsidRPr="00577254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77254" w:rsidRDefault="0057725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( 06136 ) 2-16-51 E-mail: </w:t>
            </w:r>
            <w:hyperlink r:id="rId9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Довідка,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наведена у додатку до Типової інформаційної картки адміністративної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інформаційної картки 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КАРТИ (ПЛАНУ)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е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>Виконавчого комітету Веселівської селищної ради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B629F0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472E4" w:rsidRPr="00577254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77254" w:rsidRDefault="0057725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( 06136 ) 2-16-51 E-mail: </w:t>
            </w:r>
            <w:hyperlink r:id="rId10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 </w:t>
            </w: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ідписом (печаткою) заявника надсилається через Єдиний державний портал адміністративних послуг,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ідставі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земельного кадастру наведена у додатку до Типової інформаційної картки адміністративної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C472E4" w:rsidRDefault="00C472E4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</w:t>
      </w:r>
      <w:bookmarkStart w:id="0" w:name="_GoBack"/>
      <w:bookmarkEnd w:id="0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93"/>
        <w:gridCol w:w="4055"/>
        <w:gridCol w:w="490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ІНФОРМАЦІЙНА КАРТКА АДМІНІСТРАТИВНОЇ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(назва адміністративної послуги)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е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517C78" w:rsidRPr="00517C78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>Центр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 xml:space="preserve"> надання адміністративних послуг </w:t>
            </w:r>
            <w:r w:rsidR="00B629F0" w:rsidRPr="00A17CD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B629F0">
              <w:rPr>
                <w:b/>
                <w:i/>
                <w:sz w:val="20"/>
                <w:szCs w:val="20"/>
                <w:lang w:val="uk-UA"/>
              </w:rPr>
              <w:t>Виконавчого комітету Веселівської селищної ради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B629F0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смт. Веселе, вул. Центральна, 162, 72202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1EE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- 0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7-00</w:t>
            </w:r>
          </w:p>
          <w:p w:rsidR="00B831EE" w:rsidRPr="00A17CD3" w:rsidRDefault="00B831EE" w:rsidP="00B831EE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П’ятниця : з 8-00 до 16-00 без  перерви</w:t>
            </w:r>
          </w:p>
          <w:p w:rsidR="00B831EE" w:rsidRPr="006D6FC0" w:rsidRDefault="00B831EE" w:rsidP="00B831E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н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472E4" w:rsidRPr="00577254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77254" w:rsidRDefault="0057725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( 06136 ) 2-16-51 E-mail: </w:t>
            </w:r>
            <w:hyperlink r:id="rId11" w:history="1">
              <w:r w:rsidRPr="00254613">
                <w:rPr>
                  <w:rStyle w:val="a5"/>
                  <w:sz w:val="20"/>
                  <w:szCs w:val="20"/>
                  <w:lang w:val="en-US"/>
                </w:rPr>
                <w:t>veselivska-gromada.gov.ua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витягів з них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 перелі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оземельної книги на земельну ділянку, – особи, яким належить речове право на цю земельну ділянку; щодо інших документів (крім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 пов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’язано із здійсненням ними повноважень, встановлених законом)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Копії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Державного земельного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кадастру наведено у додатку 2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надання відомостей з Державного земельного кадастру у формі копій документів, що створюються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адміністративної послуги з надання відомостей з Державного земельного кадастру у формі витягу з документа, що створюються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sectPr w:rsidR="00517C78" w:rsidRPr="00517C78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517C78"/>
    <w:rsid w:val="00031BD6"/>
    <w:rsid w:val="001238E9"/>
    <w:rsid w:val="001367B5"/>
    <w:rsid w:val="001B03B6"/>
    <w:rsid w:val="00294790"/>
    <w:rsid w:val="00517C78"/>
    <w:rsid w:val="00577254"/>
    <w:rsid w:val="006C5327"/>
    <w:rsid w:val="008521D4"/>
    <w:rsid w:val="0095001B"/>
    <w:rsid w:val="00AB5847"/>
    <w:rsid w:val="00B629F0"/>
    <w:rsid w:val="00B831EE"/>
    <w:rsid w:val="00C472E4"/>
    <w:rsid w:val="00C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ivska-gromada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selivska-grom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elivska-gromada.gov.ua/" TargetMode="External"/><Relationship Id="rId11" Type="http://schemas.openxmlformats.org/officeDocument/2006/relationships/hyperlink" Target="https://veselivska-gromada.gov.ua/" TargetMode="External"/><Relationship Id="rId5" Type="http://schemas.openxmlformats.org/officeDocument/2006/relationships/hyperlink" Target="https://veselivska-gromada.gov.ua/" TargetMode="External"/><Relationship Id="rId10" Type="http://schemas.openxmlformats.org/officeDocument/2006/relationships/hyperlink" Target="https://veselivska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elivska-gromada.gov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13616</Words>
  <Characters>77615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Сергей</cp:lastModifiedBy>
  <cp:revision>8</cp:revision>
  <cp:lastPrinted>2020-04-07T07:59:00Z</cp:lastPrinted>
  <dcterms:created xsi:type="dcterms:W3CDTF">2020-04-07T13:10:00Z</dcterms:created>
  <dcterms:modified xsi:type="dcterms:W3CDTF">2020-04-07T13:54:00Z</dcterms:modified>
</cp:coreProperties>
</file>