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371" w:type="dxa"/>
          <w:right w:w="305" w:type="dxa"/>
        </w:tblCellMar>
        <w:tblLook w:val="04A0"/>
      </w:tblPr>
      <w:tblGrid>
        <w:gridCol w:w="9175"/>
        <w:gridCol w:w="856"/>
      </w:tblGrid>
      <w:tr w:rsidR="00B259BD">
        <w:trPr>
          <w:tblCellSpacing w:w="0" w:type="dxa"/>
        </w:trPr>
        <w:tc>
          <w:tcPr>
            <w:tcW w:w="5000" w:type="pct"/>
            <w:vAlign w:val="center"/>
            <w:hideMark/>
          </w:tcPr>
          <w:p w:rsidR="00B259BD" w:rsidRPr="00420828" w:rsidRDefault="00B259BD" w:rsidP="00420828">
            <w:pPr>
              <w:jc w:val="center"/>
              <w:rPr>
                <w:rFonts w:ascii="Arial" w:hAnsi="Arial" w:cs="Arial"/>
                <w:sz w:val="28"/>
                <w:szCs w:val="28"/>
              </w:rPr>
            </w:pPr>
            <w:r w:rsidRPr="00420828">
              <w:rPr>
                <w:rFonts w:ascii="Arial" w:hAnsi="Arial" w:cs="Arial"/>
                <w:sz w:val="28"/>
                <w:szCs w:val="28"/>
              </w:rPr>
              <w:t xml:space="preserve">Про </w:t>
            </w:r>
            <w:proofErr w:type="spellStart"/>
            <w:r w:rsidRPr="00420828">
              <w:rPr>
                <w:rFonts w:ascii="Arial" w:hAnsi="Arial" w:cs="Arial"/>
                <w:sz w:val="28"/>
                <w:szCs w:val="28"/>
              </w:rPr>
              <w:t>зміни</w:t>
            </w:r>
            <w:proofErr w:type="spellEnd"/>
            <w:r w:rsidRPr="00420828">
              <w:rPr>
                <w:rFonts w:ascii="Arial" w:hAnsi="Arial" w:cs="Arial"/>
                <w:sz w:val="28"/>
                <w:szCs w:val="28"/>
              </w:rPr>
              <w:t xml:space="preserve"> у </w:t>
            </w:r>
            <w:proofErr w:type="spellStart"/>
            <w:r w:rsidRPr="00420828">
              <w:rPr>
                <w:rFonts w:ascii="Arial" w:hAnsi="Arial" w:cs="Arial"/>
                <w:sz w:val="28"/>
                <w:szCs w:val="28"/>
              </w:rPr>
              <w:t>антикорупційному</w:t>
            </w:r>
            <w:proofErr w:type="spellEnd"/>
            <w:r w:rsidRPr="00420828">
              <w:rPr>
                <w:rFonts w:ascii="Arial" w:hAnsi="Arial" w:cs="Arial"/>
                <w:sz w:val="28"/>
                <w:szCs w:val="28"/>
              </w:rPr>
              <w:t xml:space="preserve"> </w:t>
            </w:r>
            <w:proofErr w:type="spellStart"/>
            <w:r w:rsidRPr="00420828">
              <w:rPr>
                <w:rFonts w:ascii="Arial" w:hAnsi="Arial" w:cs="Arial"/>
                <w:sz w:val="28"/>
                <w:szCs w:val="28"/>
              </w:rPr>
              <w:t>законодавстві</w:t>
            </w:r>
            <w:proofErr w:type="spellEnd"/>
          </w:p>
        </w:tc>
        <w:tc>
          <w:tcPr>
            <w:tcW w:w="0" w:type="auto"/>
            <w:noWrap/>
            <w:tcMar>
              <w:top w:w="0" w:type="dxa"/>
              <w:left w:w="545" w:type="dxa"/>
              <w:bottom w:w="0" w:type="dxa"/>
              <w:right w:w="305" w:type="dxa"/>
            </w:tcMar>
            <w:vAlign w:val="center"/>
            <w:hideMark/>
          </w:tcPr>
          <w:p w:rsidR="00B259BD" w:rsidRPr="00420828" w:rsidRDefault="00B259BD">
            <w:pPr>
              <w:rPr>
                <w:sz w:val="28"/>
                <w:szCs w:val="28"/>
              </w:rPr>
            </w:pPr>
          </w:p>
        </w:tc>
      </w:tr>
      <w:tr w:rsidR="00B259BD">
        <w:trPr>
          <w:tblCellSpacing w:w="0" w:type="dxa"/>
        </w:trPr>
        <w:tc>
          <w:tcPr>
            <w:tcW w:w="0" w:type="auto"/>
            <w:gridSpan w:val="2"/>
            <w:vAlign w:val="center"/>
            <w:hideMark/>
          </w:tcPr>
          <w:p w:rsidR="00B259BD" w:rsidRPr="00420828" w:rsidRDefault="00B259BD">
            <w:pPr>
              <w:rPr>
                <w:sz w:val="28"/>
                <w:szCs w:val="28"/>
              </w:rPr>
            </w:pPr>
            <w:r w:rsidRPr="00420828">
              <w:rPr>
                <w:noProof/>
                <w:sz w:val="28"/>
                <w:szCs w:val="28"/>
              </w:rPr>
              <w:drawing>
                <wp:inline distT="0" distB="0" distL="0" distR="0">
                  <wp:extent cx="13970" cy="27940"/>
                  <wp:effectExtent l="0" t="0" r="0" b="0"/>
                  <wp:docPr id="1" name="Рисунок 1" descr="http://www.dkrs.gov.ua/kru/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krs.gov.ua/kru/img/1x1.gif"/>
                          <pic:cNvPicPr>
                            <a:picLocks noChangeAspect="1" noChangeArrowheads="1"/>
                          </pic:cNvPicPr>
                        </pic:nvPicPr>
                        <pic:blipFill>
                          <a:blip r:embed="rId4"/>
                          <a:srcRect/>
                          <a:stretch>
                            <a:fillRect/>
                          </a:stretch>
                        </pic:blipFill>
                        <pic:spPr bwMode="auto">
                          <a:xfrm>
                            <a:off x="0" y="0"/>
                            <a:ext cx="13970" cy="27940"/>
                          </a:xfrm>
                          <a:prstGeom prst="rect">
                            <a:avLst/>
                          </a:prstGeom>
                          <a:noFill/>
                          <a:ln w="9525">
                            <a:noFill/>
                            <a:miter lim="800000"/>
                            <a:headEnd/>
                            <a:tailEnd/>
                          </a:ln>
                        </pic:spPr>
                      </pic:pic>
                    </a:graphicData>
                  </a:graphic>
                </wp:inline>
              </w:drawing>
            </w:r>
          </w:p>
        </w:tc>
      </w:tr>
      <w:tr w:rsidR="00B259BD">
        <w:trPr>
          <w:tblCellSpacing w:w="0" w:type="dxa"/>
        </w:trPr>
        <w:tc>
          <w:tcPr>
            <w:tcW w:w="0" w:type="auto"/>
            <w:gridSpan w:val="2"/>
            <w:vAlign w:val="center"/>
            <w:hideMark/>
          </w:tcPr>
          <w:p w:rsidR="00B259BD" w:rsidRDefault="00B259BD">
            <w:r>
              <w:rPr>
                <w:noProof/>
              </w:rPr>
              <w:drawing>
                <wp:inline distT="0" distB="0" distL="0" distR="0">
                  <wp:extent cx="13970" cy="27940"/>
                  <wp:effectExtent l="0" t="0" r="0" b="0"/>
                  <wp:docPr id="2" name="Рисунок 2" descr="http://www.dkrs.gov.ua/kru/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krs.gov.ua/kru/img/1x1.gif"/>
                          <pic:cNvPicPr>
                            <a:picLocks noChangeAspect="1" noChangeArrowheads="1"/>
                          </pic:cNvPicPr>
                        </pic:nvPicPr>
                        <pic:blipFill>
                          <a:blip r:embed="rId4"/>
                          <a:srcRect/>
                          <a:stretch>
                            <a:fillRect/>
                          </a:stretch>
                        </pic:blipFill>
                        <pic:spPr bwMode="auto">
                          <a:xfrm>
                            <a:off x="0" y="0"/>
                            <a:ext cx="13970" cy="27940"/>
                          </a:xfrm>
                          <a:prstGeom prst="rect">
                            <a:avLst/>
                          </a:prstGeom>
                          <a:noFill/>
                          <a:ln w="9525">
                            <a:noFill/>
                            <a:miter lim="800000"/>
                            <a:headEnd/>
                            <a:tailEnd/>
                          </a:ln>
                        </pic:spPr>
                      </pic:pic>
                    </a:graphicData>
                  </a:graphic>
                </wp:inline>
              </w:drawing>
            </w:r>
          </w:p>
        </w:tc>
      </w:tr>
      <w:tr w:rsidR="00B259BD">
        <w:trPr>
          <w:tblCellSpacing w:w="0" w:type="dxa"/>
        </w:trPr>
        <w:tc>
          <w:tcPr>
            <w:tcW w:w="0" w:type="auto"/>
            <w:gridSpan w:val="2"/>
            <w:vAlign w:val="center"/>
            <w:hideMark/>
          </w:tcPr>
          <w:p w:rsidR="00B259BD" w:rsidRDefault="00B259BD">
            <w:r>
              <w:rPr>
                <w:noProof/>
              </w:rPr>
              <w:drawing>
                <wp:inline distT="0" distB="0" distL="0" distR="0">
                  <wp:extent cx="13970" cy="83185"/>
                  <wp:effectExtent l="0" t="0" r="0" b="0"/>
                  <wp:docPr id="3" name="Рисунок 3" descr="http://www.dkrs.gov.ua/kru/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krs.gov.ua/kru/img/1x1.gif"/>
                          <pic:cNvPicPr>
                            <a:picLocks noChangeAspect="1" noChangeArrowheads="1"/>
                          </pic:cNvPicPr>
                        </pic:nvPicPr>
                        <pic:blipFill>
                          <a:blip r:embed="rId4"/>
                          <a:srcRect/>
                          <a:stretch>
                            <a:fillRect/>
                          </a:stretch>
                        </pic:blipFill>
                        <pic:spPr bwMode="auto">
                          <a:xfrm>
                            <a:off x="0" y="0"/>
                            <a:ext cx="13970" cy="83185"/>
                          </a:xfrm>
                          <a:prstGeom prst="rect">
                            <a:avLst/>
                          </a:prstGeom>
                          <a:noFill/>
                          <a:ln w="9525">
                            <a:noFill/>
                            <a:miter lim="800000"/>
                            <a:headEnd/>
                            <a:tailEnd/>
                          </a:ln>
                        </pic:spPr>
                      </pic:pic>
                    </a:graphicData>
                  </a:graphic>
                </wp:inline>
              </w:drawing>
            </w:r>
          </w:p>
        </w:tc>
      </w:tr>
      <w:tr w:rsidR="00B259BD" w:rsidRPr="00420828">
        <w:trPr>
          <w:tblCellSpacing w:w="0" w:type="dxa"/>
        </w:trPr>
        <w:tc>
          <w:tcPr>
            <w:tcW w:w="0" w:type="auto"/>
            <w:gridSpan w:val="2"/>
            <w:vAlign w:val="center"/>
          </w:tcPr>
          <w:p w:rsidR="00B259BD" w:rsidRDefault="00B259BD" w:rsidP="00B259BD">
            <w:pPr>
              <w:spacing w:line="312" w:lineRule="auto"/>
              <w:ind w:firstLine="709"/>
              <w:jc w:val="center"/>
              <w:rPr>
                <w:rFonts w:ascii="Arial" w:hAnsi="Arial" w:cs="Arial"/>
                <w:lang w:val="uk-UA"/>
              </w:rPr>
            </w:pPr>
          </w:p>
          <w:p w:rsidR="00B259BD" w:rsidRDefault="00B259BD" w:rsidP="00B259BD">
            <w:pPr>
              <w:spacing w:line="312" w:lineRule="auto"/>
              <w:ind w:firstLine="709"/>
              <w:jc w:val="both"/>
              <w:rPr>
                <w:rFonts w:ascii="Arial" w:hAnsi="Arial" w:cs="Arial"/>
                <w:lang w:val="uk-UA"/>
              </w:rPr>
            </w:pPr>
            <w:r>
              <w:rPr>
                <w:rFonts w:ascii="Arial" w:hAnsi="Arial" w:cs="Arial"/>
                <w:lang w:val="uk-UA"/>
              </w:rPr>
              <w:t>1 липня 2011 року набирав чинності Закон України "Про засади запобігання і протидії корупції" (далі – Закон), крім статей 11 і 12, які згідно Прикінцевих та перехідних положень Закону набирають чинності з 1 січня 2012 року.</w:t>
            </w:r>
          </w:p>
          <w:p w:rsidR="00B259BD" w:rsidRDefault="00B259BD" w:rsidP="00B259BD">
            <w:pPr>
              <w:spacing w:line="312" w:lineRule="auto"/>
              <w:ind w:firstLine="709"/>
              <w:jc w:val="both"/>
              <w:rPr>
                <w:rFonts w:ascii="Arial" w:hAnsi="Arial" w:cs="Arial"/>
                <w:lang w:val="uk-UA"/>
              </w:rPr>
            </w:pPr>
            <w:r>
              <w:rPr>
                <w:rFonts w:ascii="Arial" w:hAnsi="Arial" w:cs="Arial"/>
                <w:lang w:val="uk-UA"/>
              </w:rPr>
              <w:t>Законом визначено основні засади запобігання і протидії корупції в публічній і приватній сферах суспільних відносин, відшкодування завданої внаслідок вчинення корупційних правопорушень збитків, шкоди, поновлення порушених прав, свобод чи інтересів фізичних осіб, прав чи інтересів юридичних осіб, інтересів держави.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Цим Законом передбачені нові поняття, зокрема, "безпосереднє підпорядкування", "члени сім'ї":</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безпосереднє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члени сім'ї - особи, які перебувають у шлюбі, їхні діти,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Слід звернути увагу, що статтею 4 Закону розширене коло суб'єктів відповідальності за корупційні правопорушення, а саме віднесено до числа таких суб'єктів осіб, які для цілей цього закону прирівнюються до осіб, уповноважених на виконання функцій держави або місцевого самоврядування.</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Відповідно до частини 4 статті 5 Закону координацію реалізації органами виконавчої влади визначеної Президентом України антикорупційної стратегії здійснює спеціально уповноважений орган з питань антикорупційної політики, який утворюється Президентом України і діє відповідно до вимог, встановлених законом.</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Обмеження щодо сумісництва та суміщення з іншими видами діяльності встановлено статтею 7 Закону України "Про засади запобігання і протидії корупції". Особам, зазначеним у пункті 1 частини першої статті 4 цього Закону (особи, уповноважені на виконання функцій держави або місцевого самоврядування), забороняється:</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1)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Конституцією або законами України;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2) входити до складу органу управління чи наглядової ради підприємства </w:t>
            </w:r>
            <w:r>
              <w:rPr>
                <w:rFonts w:ascii="Arial" w:hAnsi="Arial" w:cs="Arial"/>
                <w:lang w:val="uk-UA"/>
              </w:rPr>
              <w:lastRenderedPageBreak/>
              <w:t>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товариства (спостережній раді), ревізійній комісії господарського товариства), якщо інше не передбачено Конституцією або законами України.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Обмеження щодо одержання дарунків (пожертв) регламентовано статтею 8 Закону України "Про засади запобігання і протидії корупції".</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Особам, зазначеним у пункті 1 та підпунктах "а", "б" пункту 2 частини першої статті 4 цього Закону (особи, уповноважені на виконання функцій держави або місцевого самоврядування; посадові особи юридичних осіб публічного права, які не зазначені в пункті 1 частини першої цієї статті, але одержують заробітну плату за рахунок державного чи місцевого бюджету;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 забороняється безпосередньо або через інших осіб одержувати дарунки (пожертви) від юридичних або фізичних осіб:</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1) за рішення, дії чи бездіяльність в інтересах дарувальника, що приймаються, вчиняються як безпосередньо такою особою, так і за її сприяння іншими посадовими особами та органами;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2) якщо особа, яка дарує (здійснює) дарунок (пожертву), перебуває в підпорядкуванні такої особи.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Частиною 2 статті 8 Закону України "Про засади запобігання і протидії корупції" передбачено, що вищевказані особи можуть приймати дарунки, які відповідають загальновизнаним уявленням про гостинність, та пожертви, крім випадків, передбачених частиною першою цієї статті,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Разом з тим відповідно до частини 2 статті 8 Закону встановлено, що передбачене цією частиною обмеження щодо вартості дарунків (пожертв) не поширюється на дарунки (пожертви), які:</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1) даруються (здійснюються) близькими особами;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2) одержуються як загальнодоступні знижки на товари, послуги, загальнодоступні виграші, призи, премії, бонуси.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У статті 11 Закону деталізовано порядок проведення спеціальної перевірки щодо осіб, які претендують на зайняття посад, пов'язаних із виконанням функцій держави або місцевого самоврядування.</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lastRenderedPageBreak/>
              <w:t>Статтею 12 Закону введено новий порядок декларування як доходів, так і витрат.</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Крім того, Закон впроваджує Єдиний державний реєстр осіб, що вчинили корупційні правопорушення, - єдину базу даних, в якій будуть зосереджені відомості про всіх осіб, притягнутих до відповідальності за здійснення корупційних правопорушень.</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Так, відповідно до частини другої статті 21 Закону відомості про осіб, яких притягнуто до відповідальності за вчинення корупційних  правопорушень, у триденний строк з дня набрання відповідним рішенням суду законної сили, притягнення до цивільно-правової відповідальності, накладення дисциплінарного стягнення заносяться до Єдиного державного реєстру осіб, які вчинили корупційні правопорушення, що формується та ведеться Міністерством юстиції України.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Статтею 22 Закону визначено особливості звільнення з роботи осіб, які вчинили корупційні правопорушення. Зокрема, відповідно абзацу другого частини другої цієї статті Закону особи, яких притягнуто до кримінальної або адміністративної відповідальності за корупційні правопорушення, пов'язані з порушенням обмежень, передбачених цим Законом, підлягають звільненню з відповідних посад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якщо інше не передбачено законом.</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Також звертаємо увагу, що Верховною Радою України прийнято Закон України «Про внесення змін до деяких законодавчих актів України щодо відповідальності за корупційні правопорушення», який набрав чинності одночасно із Законом України «Про засади запобігання і протидії корупції».</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Вказаним законом внесено зміни до Кодексу України про адміністративні правопорушення, Кримінального кодексу України, Кримінально-процесуального кодексу України в частині реалізації положень Закону України "Про засади запобігання та протидії корупції". Зокрема, передбачаються нові склади кримінальних злочинів та адміністративних правопорушень, пов'язаних з вчиненням корупційних діянь. Так, </w:t>
            </w:r>
            <w:proofErr w:type="spellStart"/>
            <w:r>
              <w:rPr>
                <w:rFonts w:ascii="Arial" w:hAnsi="Arial" w:cs="Arial"/>
                <w:lang w:val="uk-UA"/>
              </w:rPr>
              <w:t>КУпАП</w:t>
            </w:r>
            <w:proofErr w:type="spellEnd"/>
            <w:r>
              <w:rPr>
                <w:rFonts w:ascii="Arial" w:hAnsi="Arial" w:cs="Arial"/>
                <w:lang w:val="uk-UA"/>
              </w:rPr>
              <w:t xml:space="preserve"> доповнено новою главою 13 – А "Адміністративні корупційні правопорушення". </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Змінами до статті 38 </w:t>
            </w:r>
            <w:proofErr w:type="spellStart"/>
            <w:r>
              <w:rPr>
                <w:rFonts w:ascii="Arial" w:hAnsi="Arial" w:cs="Arial"/>
                <w:lang w:val="uk-UA"/>
              </w:rPr>
              <w:t>КУпАП</w:t>
            </w:r>
            <w:proofErr w:type="spellEnd"/>
            <w:r>
              <w:rPr>
                <w:rFonts w:ascii="Arial" w:hAnsi="Arial" w:cs="Arial"/>
                <w:lang w:val="uk-UA"/>
              </w:rPr>
              <w:t xml:space="preserve"> передбачено, що адміністративне стягнення за вчинення корупційного правопорушення може бути накладено протягом трьох місяців з дня виявлення, але не пізніше </w:t>
            </w:r>
            <w:r>
              <w:rPr>
                <w:rFonts w:ascii="Arial" w:hAnsi="Arial" w:cs="Arial"/>
                <w:u w:val="single"/>
                <w:lang w:val="uk-UA"/>
              </w:rPr>
              <w:t>одного року з дня його вчинення</w:t>
            </w:r>
            <w:r>
              <w:rPr>
                <w:rFonts w:ascii="Arial" w:hAnsi="Arial" w:cs="Arial"/>
                <w:lang w:val="uk-UA"/>
              </w:rPr>
              <w:t>.</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Кримінальний кодекс України доповнено статтями 364-1 "Зловживання повноваженнями службовою особою юридичної особи приватного права незалежно від організаційно-правової форми", 365-1 "Перевищення повноважень службовою особою юридичної особи приватного права незалежно від організаційно-правової форми", 365-2 "Зловживання повноваженнями особами, які </w:t>
            </w:r>
            <w:r>
              <w:rPr>
                <w:rFonts w:ascii="Arial" w:hAnsi="Arial" w:cs="Arial"/>
                <w:lang w:val="uk-UA"/>
              </w:rPr>
              <w:lastRenderedPageBreak/>
              <w:t>надають публічні послуги", 368-2 "Незаконне збагачення", 368-3 "Комерційний підкуп службової особи юридичної особи приватного права незалежно від організаційно-правової форми", 368-4 "Підкуп особи, яка надає публічні послуги", 369-2 "Зловживання впливом".</w:t>
            </w:r>
          </w:p>
          <w:p w:rsidR="00B259BD" w:rsidRDefault="00B259BD" w:rsidP="00B259BD">
            <w:pPr>
              <w:spacing w:line="312" w:lineRule="auto"/>
              <w:ind w:firstLine="709"/>
              <w:jc w:val="both"/>
              <w:rPr>
                <w:rStyle w:val="FontStyle14"/>
                <w:rFonts w:ascii="Arial" w:hAnsi="Arial" w:cs="Arial"/>
                <w:sz w:val="24"/>
                <w:szCs w:val="24"/>
              </w:rPr>
            </w:pPr>
            <w:r>
              <w:rPr>
                <w:rFonts w:ascii="Arial" w:hAnsi="Arial" w:cs="Arial"/>
                <w:lang w:val="uk-UA"/>
              </w:rPr>
              <w:t>Крім того внесено зміни до низки статей Кримінального кодексу України, зокрема, до статей 353 "Самовільне присвоєння владних повноважень або звання службової особи", 358 "Підроблення документів, печаток, штампів та бланків, збут чи використання підроблених документів, печаток, штампів", 364 "Зловживання владою або службовим становищем",  365 "Перевищення влади або службових повноважень", 366 "Службове підроблення", 367 "Службова недбалість", 368 "Одержання хабара", 369 "Пропозиція або давання хабара", 370 "Провокація хабара або комерційного підкупу".</w:t>
            </w:r>
          </w:p>
          <w:p w:rsidR="00B259BD" w:rsidRDefault="00B259BD" w:rsidP="00B259BD">
            <w:pPr>
              <w:shd w:val="clear" w:color="auto" w:fill="FFFFFF"/>
              <w:spacing w:line="312" w:lineRule="auto"/>
              <w:ind w:firstLine="709"/>
              <w:jc w:val="both"/>
            </w:pPr>
            <w:r>
              <w:rPr>
                <w:rFonts w:ascii="Arial" w:hAnsi="Arial" w:cs="Arial"/>
                <w:lang w:val="uk-UA"/>
              </w:rPr>
              <w:t xml:space="preserve">Зокрема, стаття 172-2 </w:t>
            </w:r>
            <w:proofErr w:type="spellStart"/>
            <w:r>
              <w:rPr>
                <w:rFonts w:ascii="Arial" w:hAnsi="Arial" w:cs="Arial"/>
                <w:lang w:val="uk-UA"/>
              </w:rPr>
              <w:t>КУпАП</w:t>
            </w:r>
            <w:proofErr w:type="spellEnd"/>
            <w:r>
              <w:rPr>
                <w:rFonts w:ascii="Arial" w:hAnsi="Arial" w:cs="Arial"/>
                <w:lang w:val="uk-UA"/>
              </w:rPr>
              <w:t xml:space="preserve"> передбачає адміністративну відповідальність за 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Слід зазначити, що змінами передбачено адміністративну відповідальність не лише суб'єктів відповідальності за корупційні правопорушення в розумінні Закону України "Про засади запобігання і протидії корупції", а й інших осіб. Згідно статті 172-3 </w:t>
            </w:r>
            <w:proofErr w:type="spellStart"/>
            <w:r>
              <w:rPr>
                <w:rFonts w:ascii="Arial" w:hAnsi="Arial" w:cs="Arial"/>
                <w:lang w:val="uk-UA"/>
              </w:rPr>
              <w:t>КУпАП</w:t>
            </w:r>
            <w:proofErr w:type="spellEnd"/>
            <w:r>
              <w:rPr>
                <w:rFonts w:ascii="Arial" w:hAnsi="Arial" w:cs="Arial"/>
                <w:lang w:val="uk-UA"/>
              </w:rPr>
              <w:t xml:space="preserve"> </w:t>
            </w:r>
            <w:r>
              <w:rPr>
                <w:rFonts w:ascii="Arial" w:hAnsi="Arial" w:cs="Arial"/>
                <w:u w:val="single"/>
                <w:lang w:val="uk-UA"/>
              </w:rPr>
              <w:t>пропозиція або надання службовій особі</w:t>
            </w:r>
            <w:r>
              <w:rPr>
                <w:rFonts w:ascii="Arial" w:hAnsi="Arial" w:cs="Arial"/>
                <w:lang w:val="uk-UA"/>
              </w:rPr>
              <w:t xml:space="preserve"> неправомірної вигоди безпосередньо такій чи іншій особі у розмірі, що не перевищує п'яти неоподатковуваних мінімумів доходів громадян, у тому числі за ціною, нижчою за мінімальну ринкову, - тягне за собою накладення штрафу від п'ятдесяти до ста п'ятдесяти неоподатковуваних мінімумів доходів громадян. </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Частиною 2 статті 172-3 </w:t>
            </w:r>
            <w:proofErr w:type="spellStart"/>
            <w:r>
              <w:rPr>
                <w:rFonts w:ascii="Arial" w:hAnsi="Arial" w:cs="Arial"/>
                <w:lang w:val="uk-UA"/>
              </w:rPr>
              <w:t>КУпАП</w:t>
            </w:r>
            <w:proofErr w:type="spellEnd"/>
            <w:r>
              <w:rPr>
                <w:rFonts w:ascii="Arial" w:hAnsi="Arial" w:cs="Arial"/>
                <w:lang w:val="uk-UA"/>
              </w:rPr>
              <w:t xml:space="preserve"> передбачено, що пропозиція або надання службовій особі неправомірної вигоди безпосередньо такій чи іншій особі у розмірі, що не перевищує ста неоподатковуваних мінімумів доходів громадян, у тому числі за ціною, нижчою за мінімальну ринкову, - тягне за собою накладення штрафу від ста п'ятдесяти до п'ятисот неоподатковуваних мінімумів доходів громадян.</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Статтями 172-4 та 172-5 </w:t>
            </w:r>
            <w:proofErr w:type="spellStart"/>
            <w:r>
              <w:rPr>
                <w:rFonts w:ascii="Arial" w:hAnsi="Arial" w:cs="Arial"/>
                <w:lang w:val="uk-UA"/>
              </w:rPr>
              <w:t>КУпАП</w:t>
            </w:r>
            <w:proofErr w:type="spellEnd"/>
            <w:r>
              <w:rPr>
                <w:rFonts w:ascii="Arial" w:hAnsi="Arial" w:cs="Arial"/>
                <w:lang w:val="uk-UA"/>
              </w:rPr>
              <w:t xml:space="preserve"> встановлено відповідальність службових осіб за порушення обмежень щодо сумісництва та суміщення з іншими видами діяльності, одержання дарунка (пожертви).</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Статтями 172-6, 172-7 </w:t>
            </w:r>
            <w:proofErr w:type="spellStart"/>
            <w:r>
              <w:rPr>
                <w:rFonts w:ascii="Arial" w:hAnsi="Arial" w:cs="Arial"/>
                <w:lang w:val="uk-UA"/>
              </w:rPr>
              <w:t>КУпАП</w:t>
            </w:r>
            <w:proofErr w:type="spellEnd"/>
            <w:r>
              <w:rPr>
                <w:rFonts w:ascii="Arial" w:hAnsi="Arial" w:cs="Arial"/>
                <w:lang w:val="uk-UA"/>
              </w:rPr>
              <w:t xml:space="preserve"> передбачена відповідальність за неподання або несвоєчасне подання декларації про майно, доходи, витрати і зобов'язання фінансового характеру, передбаченої Законом України "Про засади запобігання і протидії корупції", неповідомлення особою безпосереднього керівника у випадках, передбачених законом, про наявність конфлікту інтересів. Під конфліктом інтересів в статті 172-7 слід розуміти суперечність між особистими інтересами особи та її службовими повноваженнями, наявність яких може вплинути на об'єктивність або неупередженість прийняття рішень, а також на вчинення чи </w:t>
            </w:r>
            <w:proofErr w:type="spellStart"/>
            <w:r>
              <w:rPr>
                <w:rFonts w:ascii="Arial" w:hAnsi="Arial" w:cs="Arial"/>
                <w:lang w:val="uk-UA"/>
              </w:rPr>
              <w:lastRenderedPageBreak/>
              <w:t>невчинення</w:t>
            </w:r>
            <w:proofErr w:type="spellEnd"/>
            <w:r>
              <w:rPr>
                <w:rFonts w:ascii="Arial" w:hAnsi="Arial" w:cs="Arial"/>
                <w:lang w:val="uk-UA"/>
              </w:rPr>
              <w:t xml:space="preserve"> дій під час виконання наданих їй службових повноважень.</w:t>
            </w:r>
          </w:p>
          <w:p w:rsidR="00B259BD" w:rsidRDefault="00B259BD" w:rsidP="00B259BD">
            <w:pPr>
              <w:shd w:val="clear" w:color="auto" w:fill="FFFFFF"/>
              <w:spacing w:line="312" w:lineRule="auto"/>
              <w:ind w:firstLine="709"/>
              <w:jc w:val="both"/>
              <w:rPr>
                <w:rFonts w:ascii="Arial" w:hAnsi="Arial" w:cs="Arial"/>
                <w:lang w:val="uk-UA"/>
              </w:rPr>
            </w:pPr>
            <w:r>
              <w:rPr>
                <w:rFonts w:ascii="Arial" w:hAnsi="Arial" w:cs="Arial"/>
                <w:lang w:val="uk-UA"/>
              </w:rPr>
              <w:t xml:space="preserve">Увагу слід звернути на статтю 172-8 </w:t>
            </w:r>
            <w:proofErr w:type="spellStart"/>
            <w:r>
              <w:rPr>
                <w:rFonts w:ascii="Arial" w:hAnsi="Arial" w:cs="Arial"/>
                <w:lang w:val="uk-UA"/>
              </w:rPr>
              <w:t>КУпАП</w:t>
            </w:r>
            <w:proofErr w:type="spellEnd"/>
            <w:r>
              <w:rPr>
                <w:rFonts w:ascii="Arial" w:hAnsi="Arial" w:cs="Arial"/>
                <w:lang w:val="uk-UA"/>
              </w:rPr>
              <w:t xml:space="preserve">, якою встановлено відповідальність за незаконне </w:t>
            </w:r>
            <w:r>
              <w:rPr>
                <w:rFonts w:ascii="Arial" w:hAnsi="Arial" w:cs="Arial"/>
                <w:u w:val="single"/>
                <w:lang w:val="uk-UA"/>
              </w:rPr>
              <w:t>розголошення або використання в інший спосіб особою у своїх інтересах</w:t>
            </w:r>
            <w:r>
              <w:rPr>
                <w:rFonts w:ascii="Arial" w:hAnsi="Arial" w:cs="Arial"/>
                <w:lang w:val="uk-UA"/>
              </w:rPr>
              <w:t xml:space="preserve"> </w:t>
            </w:r>
            <w:r>
              <w:rPr>
                <w:rFonts w:ascii="Arial" w:hAnsi="Arial" w:cs="Arial"/>
                <w:u w:val="single"/>
                <w:lang w:val="uk-UA"/>
              </w:rPr>
              <w:t>інформації, яка стала їй відома у зв'язку з виконанням службових повноважень.</w:t>
            </w:r>
          </w:p>
          <w:p w:rsidR="00B259BD" w:rsidRPr="00B259BD" w:rsidRDefault="00B259BD" w:rsidP="00B259BD">
            <w:pPr>
              <w:shd w:val="clear" w:color="auto" w:fill="FFFFFF"/>
              <w:spacing w:line="312" w:lineRule="auto"/>
              <w:ind w:firstLine="709"/>
              <w:jc w:val="both"/>
              <w:rPr>
                <w:lang w:val="uk-UA"/>
              </w:rPr>
            </w:pPr>
            <w:r>
              <w:rPr>
                <w:rFonts w:ascii="Arial" w:hAnsi="Arial" w:cs="Arial"/>
                <w:lang w:val="uk-UA"/>
              </w:rPr>
              <w:t xml:space="preserve">Крім того статтею 172-9 передбачено, що </w:t>
            </w:r>
            <w:r>
              <w:rPr>
                <w:rFonts w:ascii="Arial" w:hAnsi="Arial" w:cs="Arial"/>
                <w:u w:val="single"/>
                <w:lang w:val="uk-UA"/>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w:t>
            </w:r>
            <w:r>
              <w:rPr>
                <w:rFonts w:ascii="Arial" w:hAnsi="Arial" w:cs="Arial"/>
                <w:lang w:val="uk-UA"/>
              </w:rPr>
              <w:t xml:space="preserve"> тягне за собою накладення штрафу від п'ятдесяти до ста двадцяти п'яти неоподатковуваних мінімумів доходів громадян. Так, відповідно до частини 7 статті 5 Закону України"Про засади запобігання і протидії корупції" </w:t>
            </w:r>
            <w:r>
              <w:rPr>
                <w:rFonts w:ascii="Arial" w:hAnsi="Arial" w:cs="Arial"/>
                <w:u w:val="single"/>
                <w:lang w:val="uk-UA"/>
              </w:rPr>
              <w:t>посадові і службові особи органів державної влади</w:t>
            </w:r>
            <w:r>
              <w:rPr>
                <w:rFonts w:ascii="Arial" w:hAnsi="Arial" w:cs="Arial"/>
                <w:lang w:val="uk-UA"/>
              </w:rPr>
              <w:t xml:space="preserve">, посадові особи місцевого самоврядування, юридичних осіб, </w:t>
            </w:r>
            <w:r>
              <w:rPr>
                <w:rFonts w:ascii="Arial" w:hAnsi="Arial" w:cs="Arial"/>
                <w:u w:val="single"/>
                <w:lang w:val="uk-UA"/>
              </w:rPr>
              <w:t>їх структурних підрозділів</w:t>
            </w:r>
            <w:r>
              <w:rPr>
                <w:rFonts w:ascii="Arial" w:hAnsi="Arial" w:cs="Arial"/>
                <w:lang w:val="uk-UA"/>
              </w:rPr>
              <w:t xml:space="preserve"> у разі виявлення корупційного правопорушення чи одержання інформації про вчинення такого правопорушення працівниками відповідних органів державної влади, органів місцевого самоврядування, юридичних осіб, їх структурних підрозділів </w:t>
            </w:r>
            <w:r>
              <w:rPr>
                <w:rFonts w:ascii="Arial" w:hAnsi="Arial" w:cs="Arial"/>
                <w:u w:val="single"/>
                <w:lang w:val="uk-UA"/>
              </w:rPr>
              <w:t>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r>
              <w:rPr>
                <w:rFonts w:ascii="Arial" w:hAnsi="Arial" w:cs="Arial"/>
                <w:lang w:val="uk-UA"/>
              </w:rPr>
              <w:t>.</w:t>
            </w:r>
          </w:p>
        </w:tc>
      </w:tr>
    </w:tbl>
    <w:p w:rsidR="003B2F4C" w:rsidRPr="00B259BD" w:rsidRDefault="003B2F4C">
      <w:pPr>
        <w:rPr>
          <w:lang w:val="uk-UA"/>
        </w:rPr>
      </w:pPr>
    </w:p>
    <w:sectPr w:rsidR="003B2F4C" w:rsidRPr="00B259BD" w:rsidSect="003B2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B259BD"/>
    <w:rsid w:val="003B2F4C"/>
    <w:rsid w:val="00420828"/>
    <w:rsid w:val="00B259BD"/>
    <w:rsid w:val="00E1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B259BD"/>
    <w:rPr>
      <w:rFonts w:ascii="Times New Roman" w:hAnsi="Times New Roman" w:cs="Times New Roman" w:hint="default"/>
      <w:sz w:val="20"/>
      <w:szCs w:val="20"/>
    </w:rPr>
  </w:style>
  <w:style w:type="paragraph" w:styleId="a3">
    <w:name w:val="Balloon Text"/>
    <w:basedOn w:val="a"/>
    <w:link w:val="a4"/>
    <w:uiPriority w:val="99"/>
    <w:semiHidden/>
    <w:unhideWhenUsed/>
    <w:rsid w:val="00B259BD"/>
    <w:rPr>
      <w:rFonts w:ascii="Tahoma" w:hAnsi="Tahoma" w:cs="Tahoma"/>
      <w:sz w:val="16"/>
      <w:szCs w:val="16"/>
    </w:rPr>
  </w:style>
  <w:style w:type="character" w:customStyle="1" w:styleId="a4">
    <w:name w:val="Текст выноски Знак"/>
    <w:basedOn w:val="a0"/>
    <w:link w:val="a3"/>
    <w:uiPriority w:val="99"/>
    <w:semiHidden/>
    <w:rsid w:val="00B259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151772">
      <w:bodyDiv w:val="1"/>
      <w:marLeft w:val="0"/>
      <w:marRight w:val="0"/>
      <w:marTop w:val="0"/>
      <w:marBottom w:val="0"/>
      <w:divBdr>
        <w:top w:val="none" w:sz="0" w:space="0" w:color="auto"/>
        <w:left w:val="none" w:sz="0" w:space="0" w:color="auto"/>
        <w:bottom w:val="none" w:sz="0" w:space="0" w:color="auto"/>
        <w:right w:val="none" w:sz="0" w:space="0" w:color="auto"/>
      </w:divBdr>
      <w:divsChild>
        <w:div w:id="1839230678">
          <w:marLeft w:val="0"/>
          <w:marRight w:val="0"/>
          <w:marTop w:val="0"/>
          <w:marBottom w:val="0"/>
          <w:divBdr>
            <w:top w:val="none" w:sz="0" w:space="0" w:color="auto"/>
            <w:left w:val="none" w:sz="0" w:space="0" w:color="auto"/>
            <w:bottom w:val="none" w:sz="0" w:space="0" w:color="auto"/>
            <w:right w:val="none" w:sz="0" w:space="0" w:color="auto"/>
          </w:divBdr>
          <w:divsChild>
            <w:div w:id="1951861029">
              <w:marLeft w:val="0"/>
              <w:marRight w:val="218"/>
              <w:marTop w:val="0"/>
              <w:marBottom w:val="21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2011-09-27T11:28:00Z</dcterms:created>
  <dcterms:modified xsi:type="dcterms:W3CDTF">2011-09-27T12:06:00Z</dcterms:modified>
</cp:coreProperties>
</file>