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7C363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</w:p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FA2514">
        <w:rPr>
          <w:color w:val="auto"/>
          <w:sz w:val="26"/>
          <w:szCs w:val="26"/>
          <w:lang w:val="uk-UA"/>
        </w:rPr>
        <w:t>30</w:t>
      </w:r>
      <w:r w:rsidRPr="00204F43">
        <w:rPr>
          <w:color w:val="auto"/>
          <w:sz w:val="26"/>
          <w:szCs w:val="26"/>
          <w:lang w:val="uk-UA"/>
        </w:rPr>
        <w:t>.</w:t>
      </w:r>
      <w:r w:rsidR="00CC3389" w:rsidRPr="00204F43">
        <w:rPr>
          <w:color w:val="auto"/>
          <w:sz w:val="26"/>
          <w:szCs w:val="26"/>
          <w:lang w:val="uk-UA"/>
        </w:rPr>
        <w:t>0</w:t>
      </w:r>
      <w:r w:rsidRPr="00204F43">
        <w:rPr>
          <w:color w:val="auto"/>
          <w:sz w:val="26"/>
          <w:szCs w:val="26"/>
          <w:lang w:val="uk-UA"/>
        </w:rPr>
        <w:t>1.201</w:t>
      </w:r>
      <w:r w:rsidR="00CC3389" w:rsidRPr="00204F43">
        <w:rPr>
          <w:color w:val="auto"/>
          <w:sz w:val="26"/>
          <w:szCs w:val="26"/>
          <w:lang w:val="uk-UA"/>
        </w:rPr>
        <w:t>8</w:t>
      </w:r>
      <w:r w:rsidRPr="00204F43">
        <w:rPr>
          <w:color w:val="auto"/>
          <w:sz w:val="26"/>
          <w:szCs w:val="26"/>
          <w:lang w:val="uk-UA"/>
        </w:rPr>
        <w:t xml:space="preserve"> № </w:t>
      </w:r>
      <w:r w:rsidR="00FA2514">
        <w:rPr>
          <w:color w:val="auto"/>
          <w:sz w:val="26"/>
          <w:szCs w:val="26"/>
          <w:lang w:val="uk-UA"/>
        </w:rPr>
        <w:t>20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proofErr w:type="spellStart"/>
      <w:r w:rsidR="00CC3389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>районного</w:t>
      </w:r>
      <w:proofErr w:type="spellEnd"/>
      <w:r w:rsidR="002946B6">
        <w:rPr>
          <w:rFonts w:ascii="Times New Roman" w:hAnsi="Times New Roman"/>
          <w:szCs w:val="26"/>
        </w:rPr>
        <w:t xml:space="preserve"> управління у Запорізькому районі та м. Запоріжжі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Default="004205A3" w:rsidP="004205A3">
      <w:pPr>
        <w:rPr>
          <w:lang w:val="uk-UA"/>
        </w:rPr>
      </w:pPr>
    </w:p>
    <w:p w:rsidR="00A3763B" w:rsidRPr="004205A3" w:rsidRDefault="00A3763B" w:rsidP="00A3763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1. 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2.  Розподіляє за погодженням з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язки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із своїм заступником.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3. 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Мі</w:t>
            </w:r>
            <w:r w:rsidR="006C0454">
              <w:rPr>
                <w:sz w:val="26"/>
                <w:szCs w:val="26"/>
                <w:lang w:val="uk-UA"/>
              </w:rPr>
              <w:t>ськ</w:t>
            </w:r>
            <w:r w:rsidRPr="002400AF">
              <w:rPr>
                <w:sz w:val="26"/>
                <w:szCs w:val="26"/>
                <w:lang w:val="uk-UA"/>
              </w:rPr>
              <w:t>районне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управління у Запорізькому районі та м. Запоріжжі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4.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5. Звітує перед начальником Головного </w:t>
            </w:r>
            <w:r w:rsidRPr="002400AF">
              <w:rPr>
                <w:sz w:val="26"/>
                <w:szCs w:val="26"/>
                <w:lang w:val="uk-UA"/>
              </w:rPr>
              <w:lastRenderedPageBreak/>
              <w:t xml:space="preserve">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щодо виконання покладених на управління завдань та планів роботи.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6. Формує пропозиції щодо здійснення добору персоналу 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7. Організовує роботу з підготовки, перепідготовки та підвищення кваліфікації працівників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8.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9. Скликає та проводить наради з питань, що належать до компетенції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10. Підписує документи, які стосуються діяльності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11. У межах визначених повноважень дає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язкові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2400AF" w:rsidRDefault="002400AF" w:rsidP="002400AF">
            <w:pPr>
              <w:ind w:firstLine="708"/>
              <w:jc w:val="both"/>
              <w:rPr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12. 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F94D2E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F94D2E">
              <w:rPr>
                <w:iCs/>
                <w:sz w:val="26"/>
                <w:szCs w:val="26"/>
                <w:lang w:val="uk-UA"/>
              </w:rPr>
              <w:t>5500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 xml:space="preserve">Строк подання документів: </w:t>
            </w:r>
            <w:r w:rsidR="00C11AD3" w:rsidRPr="007772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A6294" w:rsidRDefault="00CA629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772FF">
              <w:rPr>
                <w:color w:val="auto"/>
                <w:sz w:val="26"/>
                <w:szCs w:val="26"/>
                <w:lang w:val="uk-UA"/>
              </w:rPr>
              <w:t>1</w:t>
            </w:r>
            <w:r w:rsidR="00F94D2E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7772FF">
              <w:rPr>
                <w:color w:val="auto"/>
                <w:sz w:val="26"/>
                <w:szCs w:val="26"/>
                <w:lang w:val="uk-UA"/>
              </w:rPr>
              <w:t>.</w:t>
            </w:r>
            <w:r w:rsidR="007772FF" w:rsidRPr="007772FF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7772F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772FF">
              <w:rPr>
                <w:color w:val="auto"/>
                <w:sz w:val="26"/>
                <w:szCs w:val="26"/>
                <w:lang w:val="uk-UA"/>
              </w:rPr>
              <w:t>201</w:t>
            </w:r>
            <w:r w:rsidR="007772FF" w:rsidRPr="007772FF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A62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A629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Pr="00CA62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A62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>, землевпорядного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або </w:t>
                  </w:r>
                  <w:r w:rsidR="00EB3720">
                    <w:rPr>
                      <w:sz w:val="26"/>
                      <w:szCs w:val="26"/>
                      <w:lang w:val="uk-UA"/>
                    </w:rPr>
                    <w:t>юридичного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/>
                    </w:rPr>
                    <w:t>спрямування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C11AD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E26B9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FA2514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FA2514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6E26B9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6E26B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proofErr w:type="spellStart"/>
                  <w:r w:rsidR="007772FF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EB3720">
                    <w:rPr>
                      <w:rFonts w:ascii="Times New Roman" w:hAnsi="Times New Roman"/>
                      <w:szCs w:val="26"/>
                    </w:rPr>
                    <w:t>районне</w:t>
                  </w:r>
                  <w:proofErr w:type="spellEnd"/>
                  <w:r w:rsidR="00EB3720">
                    <w:rPr>
                      <w:rFonts w:ascii="Times New Roman" w:hAnsi="Times New Roman"/>
                      <w:szCs w:val="26"/>
                    </w:rPr>
                    <w:t xml:space="preserve"> управління у Запорізькому районі та м. Запоріжжі</w:t>
                  </w:r>
                  <w:r w:rsidR="00FB0975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BC7D1C" w:rsidRPr="00BC7D1C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6004C"/>
    <w:rsid w:val="00071E19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4F43"/>
    <w:rsid w:val="00207BAB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26A"/>
    <w:rsid w:val="002F3A81"/>
    <w:rsid w:val="00312355"/>
    <w:rsid w:val="00322245"/>
    <w:rsid w:val="00324951"/>
    <w:rsid w:val="003261BA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12101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B2F6E"/>
    <w:rsid w:val="005C61E4"/>
    <w:rsid w:val="005E393D"/>
    <w:rsid w:val="005F315E"/>
    <w:rsid w:val="005F573C"/>
    <w:rsid w:val="0060458A"/>
    <w:rsid w:val="006162C2"/>
    <w:rsid w:val="006579FE"/>
    <w:rsid w:val="00660A9E"/>
    <w:rsid w:val="00670451"/>
    <w:rsid w:val="00676DBF"/>
    <w:rsid w:val="0068719C"/>
    <w:rsid w:val="00697A14"/>
    <w:rsid w:val="006A5E19"/>
    <w:rsid w:val="006B0451"/>
    <w:rsid w:val="006B0895"/>
    <w:rsid w:val="006B79FA"/>
    <w:rsid w:val="006C0454"/>
    <w:rsid w:val="006C7FE4"/>
    <w:rsid w:val="006D2E93"/>
    <w:rsid w:val="006D700C"/>
    <w:rsid w:val="006E26B9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772FF"/>
    <w:rsid w:val="00794277"/>
    <w:rsid w:val="007955CF"/>
    <w:rsid w:val="007C3633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75220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47417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3763B"/>
    <w:rsid w:val="00A838D8"/>
    <w:rsid w:val="00A90500"/>
    <w:rsid w:val="00AB6371"/>
    <w:rsid w:val="00AB7822"/>
    <w:rsid w:val="00AC2D78"/>
    <w:rsid w:val="00AE3072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C7D1C"/>
    <w:rsid w:val="00BD37BA"/>
    <w:rsid w:val="00BE0680"/>
    <w:rsid w:val="00BF0BA5"/>
    <w:rsid w:val="00BF4F8C"/>
    <w:rsid w:val="00C01A22"/>
    <w:rsid w:val="00C03808"/>
    <w:rsid w:val="00C0494A"/>
    <w:rsid w:val="00C11AD3"/>
    <w:rsid w:val="00C11F37"/>
    <w:rsid w:val="00C20BAB"/>
    <w:rsid w:val="00C24B0C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C3389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A0772"/>
    <w:rsid w:val="00DB544B"/>
    <w:rsid w:val="00DC4E96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94D2E"/>
    <w:rsid w:val="00FA12EB"/>
    <w:rsid w:val="00FA2514"/>
    <w:rsid w:val="00FA3F79"/>
    <w:rsid w:val="00FB0975"/>
    <w:rsid w:val="00FB3CCA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8848-59FC-4505-94FD-9581C181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4526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22</cp:revision>
  <cp:lastPrinted>2016-06-16T11:42:00Z</cp:lastPrinted>
  <dcterms:created xsi:type="dcterms:W3CDTF">2017-11-16T10:08:00Z</dcterms:created>
  <dcterms:modified xsi:type="dcterms:W3CDTF">2018-01-30T08:01:00Z</dcterms:modified>
</cp:coreProperties>
</file>