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8F" w:rsidRDefault="009E498F" w:rsidP="009E498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4 </w:t>
      </w:r>
    </w:p>
    <w:p w:rsidR="009E498F" w:rsidRDefault="009E498F" w:rsidP="009E498F">
      <w:pPr>
        <w:jc w:val="both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начальника-начальник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з контролю за використанням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та охороною земель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9E498F" w:rsidRDefault="009E498F" w:rsidP="009E498F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Бутенко</w:t>
      </w:r>
      <w:proofErr w:type="spellEnd"/>
      <w:r>
        <w:rPr>
          <w:color w:val="auto"/>
          <w:sz w:val="26"/>
          <w:szCs w:val="26"/>
          <w:lang w:val="uk-UA"/>
        </w:rPr>
        <w:t xml:space="preserve"> Ю.О._______________________</w:t>
      </w:r>
    </w:p>
    <w:p w:rsidR="009F7CF5" w:rsidRPr="00504729" w:rsidRDefault="009F7CF5" w:rsidP="00D6696E">
      <w:pPr>
        <w:rPr>
          <w:sz w:val="26"/>
          <w:szCs w:val="26"/>
          <w:lang w:val="uk-UA"/>
        </w:rPr>
      </w:pPr>
    </w:p>
    <w:p w:rsidR="009F7CF5" w:rsidRPr="00504729" w:rsidRDefault="009F7CF5" w:rsidP="00D6696E">
      <w:pPr>
        <w:rPr>
          <w:sz w:val="26"/>
          <w:szCs w:val="26"/>
          <w:lang w:val="uk-UA"/>
        </w:rPr>
      </w:pPr>
    </w:p>
    <w:p w:rsidR="007955CF" w:rsidRPr="0050472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04729">
        <w:rPr>
          <w:rFonts w:ascii="Times New Roman" w:hAnsi="Times New Roman"/>
          <w:szCs w:val="26"/>
        </w:rPr>
        <w:t xml:space="preserve">УМОВИ </w:t>
      </w:r>
      <w:r w:rsidRPr="00504729">
        <w:rPr>
          <w:rFonts w:ascii="Times New Roman" w:hAnsi="Times New Roman"/>
          <w:szCs w:val="26"/>
        </w:rPr>
        <w:br/>
        <w:t>проведення конкурсу</w:t>
      </w:r>
    </w:p>
    <w:p w:rsidR="00F824C4" w:rsidRPr="00504729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504729">
        <w:rPr>
          <w:rFonts w:ascii="Times New Roman" w:hAnsi="Times New Roman"/>
          <w:szCs w:val="26"/>
        </w:rPr>
        <w:t>на за</w:t>
      </w:r>
      <w:r w:rsidR="00DE7F8A" w:rsidRPr="00504729">
        <w:rPr>
          <w:rFonts w:ascii="Times New Roman" w:hAnsi="Times New Roman"/>
          <w:szCs w:val="26"/>
        </w:rPr>
        <w:t xml:space="preserve">йняття </w:t>
      </w:r>
      <w:r w:rsidRPr="00504729">
        <w:rPr>
          <w:rFonts w:ascii="Times New Roman" w:hAnsi="Times New Roman"/>
          <w:szCs w:val="26"/>
        </w:rPr>
        <w:t>вакантно</w:t>
      </w:r>
      <w:r w:rsidR="00DE7F8A" w:rsidRPr="00504729">
        <w:rPr>
          <w:rFonts w:ascii="Times New Roman" w:hAnsi="Times New Roman"/>
          <w:szCs w:val="26"/>
        </w:rPr>
        <w:t xml:space="preserve">ї посади </w:t>
      </w:r>
      <w:r w:rsidR="007955CF" w:rsidRPr="00504729">
        <w:rPr>
          <w:rFonts w:ascii="Times New Roman" w:hAnsi="Times New Roman"/>
          <w:szCs w:val="26"/>
        </w:rPr>
        <w:t xml:space="preserve">державної служби </w:t>
      </w:r>
      <w:r w:rsidR="00DE7F8A" w:rsidRPr="00504729">
        <w:rPr>
          <w:rFonts w:ascii="Times New Roman" w:hAnsi="Times New Roman"/>
          <w:szCs w:val="26"/>
        </w:rPr>
        <w:t>категорії «В»</w:t>
      </w:r>
      <w:r w:rsidR="00F824C4" w:rsidRPr="00504729">
        <w:rPr>
          <w:rFonts w:ascii="Times New Roman" w:hAnsi="Times New Roman"/>
          <w:szCs w:val="26"/>
        </w:rPr>
        <w:t xml:space="preserve"> </w:t>
      </w:r>
      <w:r w:rsidR="00DE7F8A" w:rsidRPr="00504729">
        <w:rPr>
          <w:rFonts w:ascii="Times New Roman" w:hAnsi="Times New Roman"/>
          <w:szCs w:val="26"/>
        </w:rPr>
        <w:t>-</w:t>
      </w:r>
      <w:r w:rsidR="00F824C4" w:rsidRPr="00504729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504729">
        <w:rPr>
          <w:rFonts w:ascii="Times New Roman" w:hAnsi="Times New Roman"/>
          <w:szCs w:val="26"/>
        </w:rPr>
        <w:t>відділу</w:t>
      </w:r>
      <w:r w:rsidR="006834D1" w:rsidRPr="00504729">
        <w:rPr>
          <w:szCs w:val="26"/>
        </w:rPr>
        <w:t xml:space="preserve"> </w:t>
      </w:r>
      <w:r w:rsidR="006834D1" w:rsidRPr="00504729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1A49CC" w:rsidRPr="00504729">
        <w:rPr>
          <w:rFonts w:ascii="Times New Roman" w:hAnsi="Times New Roman"/>
          <w:szCs w:val="26"/>
        </w:rPr>
        <w:t>у</w:t>
      </w:r>
      <w:r w:rsidR="006834D1" w:rsidRPr="00504729">
        <w:rPr>
          <w:rFonts w:ascii="Times New Roman" w:hAnsi="Times New Roman"/>
          <w:szCs w:val="26"/>
        </w:rPr>
        <w:t xml:space="preserve"> </w:t>
      </w:r>
      <w:r w:rsidR="001A49CC" w:rsidRPr="00504729">
        <w:rPr>
          <w:rFonts w:ascii="Times New Roman" w:hAnsi="Times New Roman"/>
          <w:szCs w:val="26"/>
        </w:rPr>
        <w:t xml:space="preserve">Бердянському, Приазовському, Приморському, Чернігівському районах та </w:t>
      </w:r>
      <w:proofErr w:type="spellStart"/>
      <w:r w:rsidR="001A49CC" w:rsidRPr="00504729">
        <w:rPr>
          <w:rFonts w:ascii="Times New Roman" w:hAnsi="Times New Roman"/>
          <w:szCs w:val="26"/>
        </w:rPr>
        <w:t>м.Бердянську</w:t>
      </w:r>
      <w:proofErr w:type="spellEnd"/>
      <w:r w:rsidR="006834D1" w:rsidRPr="00504729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504729">
        <w:rPr>
          <w:rFonts w:ascii="Times New Roman" w:hAnsi="Times New Roman"/>
          <w:szCs w:val="26"/>
        </w:rPr>
        <w:t xml:space="preserve"> </w:t>
      </w:r>
      <w:r w:rsidR="00F824C4" w:rsidRPr="00504729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504729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504729">
        <w:rPr>
          <w:rFonts w:ascii="Times New Roman" w:hAnsi="Times New Roman"/>
          <w:szCs w:val="26"/>
        </w:rPr>
        <w:t xml:space="preserve"> у Запорізькій області</w:t>
      </w:r>
      <w:r w:rsidR="0084155D" w:rsidRPr="00504729">
        <w:rPr>
          <w:rFonts w:ascii="Times New Roman" w:hAnsi="Times New Roman"/>
          <w:szCs w:val="26"/>
        </w:rPr>
        <w:t xml:space="preserve"> </w:t>
      </w:r>
    </w:p>
    <w:p w:rsidR="006162C2" w:rsidRPr="00504729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504729" w:rsidTr="00C60B3A">
        <w:tc>
          <w:tcPr>
            <w:tcW w:w="3970" w:type="dxa"/>
          </w:tcPr>
          <w:p w:rsidR="00DE7F8A" w:rsidRPr="00504729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504729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504729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504729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504729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504729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1. </w:t>
            </w:r>
            <w:r w:rsidRPr="00504729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504729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504729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504729">
              <w:rPr>
                <w:sz w:val="26"/>
                <w:szCs w:val="26"/>
                <w:lang w:val="uk-UA"/>
              </w:rPr>
              <w:t xml:space="preserve">повідних перевірок на території Бердянському, Приазовському, Приморському, Чернігівському районах та </w:t>
            </w:r>
            <w:proofErr w:type="spellStart"/>
            <w:r w:rsidR="001A49CC" w:rsidRPr="00504729">
              <w:rPr>
                <w:sz w:val="26"/>
                <w:szCs w:val="26"/>
                <w:lang w:val="uk-UA"/>
              </w:rPr>
              <w:t>м.Бердянську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504729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504729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4.</w:t>
            </w:r>
            <w:r w:rsidRPr="00504729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504729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50472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sz w:val="26"/>
                <w:szCs w:val="26"/>
                <w:lang w:val="uk-UA"/>
              </w:rPr>
              <w:t>щодо: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504729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504729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504729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504729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504729">
              <w:rPr>
                <w:sz w:val="26"/>
                <w:szCs w:val="26"/>
                <w:lang w:val="uk-UA"/>
              </w:rPr>
              <w:t>м.</w:t>
            </w:r>
            <w:r w:rsidR="001A49CC" w:rsidRPr="00504729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504729">
              <w:rPr>
                <w:szCs w:val="26"/>
                <w:lang w:val="uk-UA"/>
              </w:rPr>
              <w:t xml:space="preserve"> контролю за використанням та охороною земель в </w:t>
            </w:r>
            <w:r w:rsidR="00671BB7" w:rsidRPr="00504729">
              <w:rPr>
                <w:sz w:val="26"/>
                <w:szCs w:val="26"/>
                <w:lang w:val="uk-UA"/>
              </w:rPr>
              <w:t xml:space="preserve">Бердянському, Приазовському, Приморському, Чернігівському районах та </w:t>
            </w:r>
            <w:proofErr w:type="spellStart"/>
            <w:r w:rsidR="00671BB7" w:rsidRPr="00504729">
              <w:rPr>
                <w:sz w:val="26"/>
                <w:szCs w:val="26"/>
                <w:lang w:val="uk-UA"/>
              </w:rPr>
              <w:t>м.Бердянську</w:t>
            </w:r>
            <w:proofErr w:type="spellEnd"/>
            <w:r w:rsidR="00671BB7" w:rsidRPr="00504729">
              <w:rPr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504729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504729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504729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504729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504729" w:rsidRDefault="00670451" w:rsidP="00FB4EDD">
            <w:pPr>
              <w:jc w:val="both"/>
              <w:rPr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Посадовий о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504729">
              <w:rPr>
                <w:iCs/>
                <w:sz w:val="26"/>
                <w:szCs w:val="26"/>
                <w:lang w:val="uk-UA"/>
              </w:rPr>
              <w:t>-</w:t>
            </w:r>
            <w:r w:rsidR="00B232AE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FB4EDD" w:rsidRPr="00504729">
              <w:rPr>
                <w:iCs/>
                <w:sz w:val="26"/>
                <w:szCs w:val="26"/>
                <w:lang w:val="uk-UA"/>
              </w:rPr>
              <w:t>4</w:t>
            </w:r>
            <w:r w:rsidR="00130BE5" w:rsidRPr="00504729">
              <w:rPr>
                <w:sz w:val="26"/>
                <w:szCs w:val="26"/>
                <w:lang w:val="uk-UA"/>
              </w:rPr>
              <w:t>80</w:t>
            </w:r>
            <w:r w:rsidR="00FB4EDD" w:rsidRPr="00504729">
              <w:rPr>
                <w:sz w:val="26"/>
                <w:szCs w:val="26"/>
                <w:lang w:val="uk-UA"/>
              </w:rPr>
              <w:t>0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.00 </w:t>
            </w:r>
            <w:r w:rsidR="00120902" w:rsidRPr="00504729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504729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504729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504729">
              <w:rPr>
                <w:sz w:val="26"/>
                <w:szCs w:val="26"/>
                <w:lang w:val="uk-UA"/>
              </w:rPr>
              <w:t>премі</w:t>
            </w:r>
            <w:r w:rsidR="00A838D8" w:rsidRPr="00504729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504729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504729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504729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Б</w:t>
            </w:r>
            <w:r w:rsidR="00120902" w:rsidRPr="00504729">
              <w:rPr>
                <w:sz w:val="26"/>
                <w:szCs w:val="26"/>
                <w:lang w:val="uk-UA"/>
              </w:rPr>
              <w:t>езстроков</w:t>
            </w:r>
            <w:r w:rsidRPr="00504729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504729" w:rsidTr="00C60B3A">
        <w:tc>
          <w:tcPr>
            <w:tcW w:w="3970" w:type="dxa"/>
          </w:tcPr>
          <w:p w:rsidR="00120902" w:rsidRPr="00504729" w:rsidRDefault="00120902" w:rsidP="00DE7F8A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к</w:t>
            </w:r>
            <w:r w:rsidR="00120902" w:rsidRPr="00504729">
              <w:rPr>
                <w:rFonts w:ascii="Times New Roman" w:hAnsi="Times New Roman"/>
                <w:szCs w:val="26"/>
              </w:rPr>
              <w:t>опі</w:t>
            </w:r>
            <w:r w:rsidR="007955CF" w:rsidRPr="00504729">
              <w:rPr>
                <w:rFonts w:ascii="Times New Roman" w:hAnsi="Times New Roman"/>
                <w:szCs w:val="26"/>
              </w:rPr>
              <w:t>я</w:t>
            </w:r>
            <w:r w:rsidRPr="00504729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504729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04729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504729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к</w:t>
            </w:r>
            <w:r w:rsidR="00120902" w:rsidRPr="00504729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504729">
              <w:rPr>
                <w:rFonts w:ascii="Times New Roman" w:hAnsi="Times New Roman"/>
                <w:szCs w:val="26"/>
              </w:rPr>
              <w:t>;</w:t>
            </w:r>
          </w:p>
          <w:p w:rsidR="00120902" w:rsidRPr="00504729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заповнен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Pr="00504729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504729">
              <w:rPr>
                <w:rFonts w:ascii="Times New Roman" w:hAnsi="Times New Roman"/>
                <w:szCs w:val="26"/>
              </w:rPr>
              <w:t>а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504729">
              <w:rPr>
                <w:rFonts w:ascii="Times New Roman" w:hAnsi="Times New Roman"/>
                <w:szCs w:val="26"/>
              </w:rPr>
              <w:t>;</w:t>
            </w:r>
          </w:p>
          <w:p w:rsidR="00F824C4" w:rsidRPr="00504729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>е-</w:t>
            </w:r>
            <w:r w:rsidR="00670451" w:rsidRPr="00504729">
              <w:rPr>
                <w:rFonts w:ascii="Times New Roman" w:hAnsi="Times New Roman"/>
                <w:szCs w:val="26"/>
              </w:rPr>
              <w:t>деклараці</w:t>
            </w:r>
            <w:r w:rsidR="007955CF" w:rsidRPr="00504729">
              <w:rPr>
                <w:rFonts w:ascii="Times New Roman" w:hAnsi="Times New Roman"/>
                <w:szCs w:val="26"/>
              </w:rPr>
              <w:t>я</w:t>
            </w:r>
            <w:r w:rsidR="00120902" w:rsidRPr="00504729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504729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504729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504729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504729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504729">
              <w:rPr>
                <w:rFonts w:ascii="Times New Roman" w:hAnsi="Times New Roman"/>
                <w:szCs w:val="26"/>
              </w:rPr>
              <w:t>;</w:t>
            </w:r>
          </w:p>
          <w:p w:rsidR="00DE5F02" w:rsidRPr="00504729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504729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504729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504729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504729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504729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504729">
              <w:rPr>
                <w:rFonts w:ascii="Times New Roman" w:hAnsi="Times New Roman"/>
                <w:szCs w:val="26"/>
              </w:rPr>
              <w:t>1</w:t>
            </w:r>
            <w:r w:rsidR="007C54F3">
              <w:rPr>
                <w:rFonts w:ascii="Times New Roman" w:hAnsi="Times New Roman"/>
                <w:szCs w:val="26"/>
              </w:rPr>
              <w:t>5</w:t>
            </w:r>
            <w:r w:rsidR="00523669" w:rsidRPr="00504729">
              <w:rPr>
                <w:rFonts w:ascii="Times New Roman" w:hAnsi="Times New Roman"/>
                <w:szCs w:val="26"/>
              </w:rPr>
              <w:t xml:space="preserve"> </w:t>
            </w:r>
            <w:r w:rsidRPr="00504729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504729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504729">
              <w:rPr>
                <w:rFonts w:ascii="Times New Roman" w:hAnsi="Times New Roman"/>
                <w:szCs w:val="26"/>
              </w:rPr>
              <w:t xml:space="preserve"> </w:t>
            </w:r>
            <w:r w:rsidRPr="00504729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504729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504729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504729" w:rsidTr="00C60B3A">
        <w:tc>
          <w:tcPr>
            <w:tcW w:w="3970" w:type="dxa"/>
          </w:tcPr>
          <w:p w:rsidR="00403C42" w:rsidRPr="00504729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504729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504729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504729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04729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504729" w:rsidRDefault="00403C42" w:rsidP="00DE7F8A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04729" w:rsidRDefault="007C54F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293AA0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50472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04729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504729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504729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50472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50472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0472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0472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0472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0472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0472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0472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0472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0472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0472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504729" w:rsidTr="00C60B3A">
        <w:tc>
          <w:tcPr>
            <w:tcW w:w="3970" w:type="dxa"/>
          </w:tcPr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504729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504729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504729" w:rsidRDefault="007F4A63" w:rsidP="007F4A63">
            <w:pPr>
              <w:rPr>
                <w:color w:val="auto"/>
                <w:lang w:val="uk-UA"/>
              </w:rPr>
            </w:pPr>
            <w:r w:rsidRPr="00504729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504729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04729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504729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504729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504729">
              <w:rPr>
                <w:sz w:val="26"/>
                <w:szCs w:val="26"/>
                <w:lang w:val="uk-UA"/>
              </w:rPr>
              <w:t>1</w:t>
            </w:r>
            <w:r w:rsidR="007F4A63" w:rsidRPr="00504729">
              <w:rPr>
                <w:sz w:val="26"/>
                <w:szCs w:val="26"/>
                <w:lang w:val="uk-UA"/>
              </w:rPr>
              <w:t>)</w:t>
            </w:r>
            <w:r w:rsidR="006F174C" w:rsidRPr="00504729">
              <w:rPr>
                <w:sz w:val="26"/>
                <w:szCs w:val="26"/>
                <w:lang w:val="uk-UA"/>
              </w:rPr>
              <w:t>787-51-47</w:t>
            </w:r>
          </w:p>
          <w:p w:rsidR="009118A5" w:rsidRPr="00504729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504729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04729">
              <w:rPr>
                <w:sz w:val="26"/>
                <w:szCs w:val="26"/>
                <w:lang w:val="uk-UA"/>
              </w:rPr>
              <w:t>Е-mail: kadr</w:t>
            </w:r>
            <w:r w:rsidR="00F86CC6" w:rsidRPr="00504729">
              <w:rPr>
                <w:sz w:val="26"/>
                <w:szCs w:val="26"/>
                <w:lang w:val="uk-UA"/>
              </w:rPr>
              <w:t>uzp</w:t>
            </w:r>
            <w:r w:rsidRPr="00504729">
              <w:rPr>
                <w:sz w:val="26"/>
                <w:szCs w:val="26"/>
                <w:lang w:val="uk-UA"/>
              </w:rPr>
              <w:t>@</w:t>
            </w:r>
            <w:r w:rsidR="00F86CC6" w:rsidRPr="00504729">
              <w:rPr>
                <w:sz w:val="26"/>
                <w:szCs w:val="26"/>
                <w:lang w:val="uk-UA"/>
              </w:rPr>
              <w:t>meta</w:t>
            </w:r>
            <w:r w:rsidRPr="00504729">
              <w:rPr>
                <w:sz w:val="26"/>
                <w:szCs w:val="26"/>
                <w:lang w:val="uk-UA"/>
              </w:rPr>
              <w:t>.</w:t>
            </w:r>
            <w:r w:rsidR="00F86CC6" w:rsidRPr="00504729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504729" w:rsidTr="00DE7F8A">
        <w:tc>
          <w:tcPr>
            <w:tcW w:w="10314" w:type="dxa"/>
            <w:gridSpan w:val="2"/>
            <w:shd w:val="clear" w:color="auto" w:fill="auto"/>
          </w:tcPr>
          <w:p w:rsidR="00DE7F8A" w:rsidRPr="00504729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04729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504729" w:rsidTr="00DE7F8A">
        <w:tc>
          <w:tcPr>
            <w:tcW w:w="10314" w:type="dxa"/>
            <w:gridSpan w:val="2"/>
            <w:shd w:val="clear" w:color="auto" w:fill="auto"/>
          </w:tcPr>
          <w:p w:rsidR="00F56826" w:rsidRPr="00504729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504729" w:rsidTr="00C60B3A">
              <w:tc>
                <w:tcPr>
                  <w:tcW w:w="3114" w:type="dxa"/>
                </w:tcPr>
                <w:p w:rsidR="000044BC" w:rsidRPr="00504729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504729" w:rsidRDefault="00B162E7" w:rsidP="00293AA0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504729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504729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504729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504729" w:rsidTr="00C60B3A">
              <w:tc>
                <w:tcPr>
                  <w:tcW w:w="3114" w:type="dxa"/>
                </w:tcPr>
                <w:p w:rsidR="000044BC" w:rsidRPr="00504729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504729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504729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504729" w:rsidTr="00C60B3A">
              <w:tc>
                <w:tcPr>
                  <w:tcW w:w="3114" w:type="dxa"/>
                </w:tcPr>
                <w:p w:rsidR="000A1013" w:rsidRPr="00504729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504729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504729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504729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504729" w:rsidTr="006F174C">
        <w:tc>
          <w:tcPr>
            <w:tcW w:w="10314" w:type="dxa"/>
            <w:gridSpan w:val="2"/>
            <w:shd w:val="clear" w:color="auto" w:fill="auto"/>
          </w:tcPr>
          <w:p w:rsidR="00AF29FA" w:rsidRPr="00504729" w:rsidRDefault="0028741D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504729" w:rsidRDefault="00F56826" w:rsidP="00F56826">
            <w:pPr>
              <w:pStyle w:val="aa"/>
              <w:ind w:firstLine="0"/>
              <w:rPr>
                <w:szCs w:val="26"/>
              </w:rPr>
            </w:pPr>
            <w:r w:rsidRPr="00504729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504729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504729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504729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9E498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504729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504729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504729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504729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504729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504729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504729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504729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504729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504729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504729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9E1C08" w:rsidRPr="00504729" w:rsidTr="00676DBF">
              <w:tc>
                <w:tcPr>
                  <w:tcW w:w="3153" w:type="dxa"/>
                </w:tcPr>
                <w:p w:rsidR="009E1C08" w:rsidRPr="00504729" w:rsidRDefault="009E1C08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9E1C08" w:rsidRPr="00BD1D67" w:rsidRDefault="009E1C08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9E1C08" w:rsidRPr="00BD1D67" w:rsidRDefault="009E1C08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9E1C08" w:rsidRPr="00BD1D67" w:rsidRDefault="009E1C08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9E1C08" w:rsidRPr="00FA6F9E" w:rsidRDefault="009E1C08" w:rsidP="001455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</w:p>
              </w:tc>
            </w:tr>
            <w:tr w:rsidR="009E1C08" w:rsidRPr="00504729" w:rsidTr="00676DBF">
              <w:tc>
                <w:tcPr>
                  <w:tcW w:w="3153" w:type="dxa"/>
                </w:tcPr>
                <w:p w:rsidR="009E1C08" w:rsidRPr="00504729" w:rsidRDefault="009E1C08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504729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E1C08" w:rsidRPr="00FA6F9E" w:rsidRDefault="009E1C08" w:rsidP="001455BD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1) Закон України «Про захист персональних даних»;</w:t>
                  </w:r>
                </w:p>
                <w:p w:rsidR="009E1C08" w:rsidRPr="00FA6F9E" w:rsidRDefault="009E1C08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lastRenderedPageBreak/>
                    <w:t>2) Закон України «Про землеустрій»;</w:t>
                  </w:r>
                </w:p>
                <w:p w:rsidR="009E1C08" w:rsidRPr="00FA6F9E" w:rsidRDefault="009E1C08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 xml:space="preserve">3) Земельний кодекс України; </w:t>
                  </w:r>
                </w:p>
                <w:p w:rsidR="009E1C08" w:rsidRPr="00FA6F9E" w:rsidRDefault="009E1C08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4) Закон України «Про основні засади державного нагляду (контролю) у сфері господарської діяльності»;</w:t>
                  </w:r>
                </w:p>
                <w:p w:rsidR="009E1C08" w:rsidRPr="00FA6F9E" w:rsidRDefault="009E1C08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5) Закон України «Про охорону земель»;</w:t>
                  </w:r>
                </w:p>
                <w:p w:rsidR="009E1C08" w:rsidRPr="00FA6F9E" w:rsidRDefault="009E1C08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6) Закон України «Про державний контроль за використанням та охороною земель»;</w:t>
                  </w:r>
                </w:p>
                <w:p w:rsidR="009E1C08" w:rsidRPr="00FA6F9E" w:rsidRDefault="009E1C08" w:rsidP="001455B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FA6F9E">
                    <w:rPr>
                      <w:rFonts w:ascii="Times New Roman" w:hAnsi="Times New Roman"/>
                      <w:szCs w:val="26"/>
                    </w:rPr>
                    <w:t>7) Кодекс про адміністративні правопорушення</w:t>
                  </w:r>
                </w:p>
              </w:tc>
            </w:tr>
          </w:tbl>
          <w:p w:rsidR="00377BC4" w:rsidRPr="00504729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504729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504729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1F70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8741D"/>
    <w:rsid w:val="00293AA0"/>
    <w:rsid w:val="002A53DE"/>
    <w:rsid w:val="002C2CA8"/>
    <w:rsid w:val="002D28F6"/>
    <w:rsid w:val="002D315E"/>
    <w:rsid w:val="002F3A81"/>
    <w:rsid w:val="00312355"/>
    <w:rsid w:val="00324951"/>
    <w:rsid w:val="003261BA"/>
    <w:rsid w:val="00335DBF"/>
    <w:rsid w:val="00377BC4"/>
    <w:rsid w:val="003A6C03"/>
    <w:rsid w:val="003B0BBF"/>
    <w:rsid w:val="003B6025"/>
    <w:rsid w:val="00403C42"/>
    <w:rsid w:val="004137D2"/>
    <w:rsid w:val="00413E09"/>
    <w:rsid w:val="00420A27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2F8E"/>
    <w:rsid w:val="004E6DBC"/>
    <w:rsid w:val="004F1ADD"/>
    <w:rsid w:val="00504729"/>
    <w:rsid w:val="00510E5B"/>
    <w:rsid w:val="00523669"/>
    <w:rsid w:val="00524FF5"/>
    <w:rsid w:val="00532AA2"/>
    <w:rsid w:val="00533267"/>
    <w:rsid w:val="00541BA6"/>
    <w:rsid w:val="005437EF"/>
    <w:rsid w:val="005524AE"/>
    <w:rsid w:val="005640C0"/>
    <w:rsid w:val="00567CC0"/>
    <w:rsid w:val="005916CF"/>
    <w:rsid w:val="00597526"/>
    <w:rsid w:val="005B0E2F"/>
    <w:rsid w:val="005C61E4"/>
    <w:rsid w:val="005D467D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C54F3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57CFE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1C08"/>
    <w:rsid w:val="009E498F"/>
    <w:rsid w:val="009E6B66"/>
    <w:rsid w:val="009F7CF5"/>
    <w:rsid w:val="00A14438"/>
    <w:rsid w:val="00A14DA7"/>
    <w:rsid w:val="00A3277A"/>
    <w:rsid w:val="00A32815"/>
    <w:rsid w:val="00A838D8"/>
    <w:rsid w:val="00AA3EA3"/>
    <w:rsid w:val="00AB6371"/>
    <w:rsid w:val="00AB7822"/>
    <w:rsid w:val="00AC2D78"/>
    <w:rsid w:val="00AF29FA"/>
    <w:rsid w:val="00B1144E"/>
    <w:rsid w:val="00B162E7"/>
    <w:rsid w:val="00B232AE"/>
    <w:rsid w:val="00B25DDB"/>
    <w:rsid w:val="00B34112"/>
    <w:rsid w:val="00B421E5"/>
    <w:rsid w:val="00B4285D"/>
    <w:rsid w:val="00B4417A"/>
    <w:rsid w:val="00B51926"/>
    <w:rsid w:val="00B6039C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75D"/>
    <w:rsid w:val="00C0494A"/>
    <w:rsid w:val="00C11F37"/>
    <w:rsid w:val="00C20BAB"/>
    <w:rsid w:val="00C33CE6"/>
    <w:rsid w:val="00C60B3A"/>
    <w:rsid w:val="00C63C31"/>
    <w:rsid w:val="00C66BE2"/>
    <w:rsid w:val="00C701C8"/>
    <w:rsid w:val="00C707A0"/>
    <w:rsid w:val="00C77168"/>
    <w:rsid w:val="00C826FC"/>
    <w:rsid w:val="00C8560C"/>
    <w:rsid w:val="00C86161"/>
    <w:rsid w:val="00C90E52"/>
    <w:rsid w:val="00CA5AB7"/>
    <w:rsid w:val="00CD60E9"/>
    <w:rsid w:val="00CF1704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A6712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B1C5E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B4EDD"/>
    <w:rsid w:val="00FE2BAF"/>
    <w:rsid w:val="00F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4095</Words>
  <Characters>2335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22</cp:revision>
  <cp:lastPrinted>2016-06-16T11:42:00Z</cp:lastPrinted>
  <dcterms:created xsi:type="dcterms:W3CDTF">2017-09-21T12:38:00Z</dcterms:created>
  <dcterms:modified xsi:type="dcterms:W3CDTF">2018-06-04T12:16:00Z</dcterms:modified>
</cp:coreProperties>
</file>