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1F30F0">
        <w:rPr>
          <w:sz w:val="26"/>
          <w:szCs w:val="26"/>
          <w:lang w:val="uk-UA"/>
        </w:rPr>
        <w:tab/>
      </w:r>
      <w:r w:rsidR="001F30F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CE4BBF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</w:t>
      </w:r>
    </w:p>
    <w:p w:rsidR="001F30F0" w:rsidRDefault="001F30F0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BB7C26" w:rsidRDefault="00BB7C26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76092">
        <w:rPr>
          <w:sz w:val="26"/>
          <w:szCs w:val="26"/>
          <w:lang w:val="uk-UA"/>
        </w:rPr>
        <w:t>ачальник</w:t>
      </w:r>
      <w:r w:rsidR="00C4563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Фінансового у</w:t>
      </w:r>
      <w:r w:rsidR="00C45637">
        <w:rPr>
          <w:sz w:val="26"/>
          <w:szCs w:val="26"/>
          <w:lang w:val="uk-UA"/>
        </w:rPr>
        <w:t>правління</w:t>
      </w:r>
      <w:r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ab/>
      </w:r>
      <w:r w:rsidR="005147A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1F30F0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</w:t>
      </w:r>
      <w:r>
        <w:rPr>
          <w:sz w:val="26"/>
          <w:szCs w:val="26"/>
          <w:lang w:val="uk-UA"/>
        </w:rPr>
        <w:t>управліня</w:t>
      </w:r>
    </w:p>
    <w:p w:rsidR="008D57C2" w:rsidRDefault="00BB7C26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головний бухгалтер</w:t>
      </w:r>
      <w:r w:rsidR="00C45637"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 xml:space="preserve">Держгеокадастру у </w:t>
      </w:r>
      <w:r w:rsidR="00C45637"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BB7C26" w:rsidRDefault="00BB7C26" w:rsidP="00BB7C26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Мамаївська Т.В.__________________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9E37B8">
        <w:rPr>
          <w:color w:val="auto"/>
          <w:sz w:val="26"/>
          <w:szCs w:val="26"/>
          <w:lang w:val="uk-UA"/>
        </w:rPr>
        <w:t xml:space="preserve">01.10.2018 № </w:t>
      </w:r>
      <w:r w:rsidR="00665EE7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Default="008D57C2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BB7C26">
        <w:rPr>
          <w:rFonts w:ascii="Times New Roman" w:hAnsi="Times New Roman"/>
          <w:szCs w:val="26"/>
        </w:rPr>
        <w:t xml:space="preserve">відділу </w:t>
      </w:r>
      <w:r w:rsidR="00A47ABE">
        <w:rPr>
          <w:rFonts w:ascii="Times New Roman" w:hAnsi="Times New Roman"/>
          <w:szCs w:val="26"/>
        </w:rPr>
        <w:t>обліку зобов</w:t>
      </w:r>
      <w:r w:rsidR="00A47ABE" w:rsidRPr="00A47ABE">
        <w:rPr>
          <w:rFonts w:ascii="Times New Roman" w:hAnsi="Times New Roman"/>
          <w:szCs w:val="26"/>
        </w:rPr>
        <w:t>’</w:t>
      </w:r>
      <w:r w:rsidR="00A47ABE">
        <w:rPr>
          <w:rFonts w:ascii="Times New Roman" w:hAnsi="Times New Roman"/>
          <w:szCs w:val="26"/>
        </w:rPr>
        <w:t>язань та розрахунків</w:t>
      </w:r>
      <w:r w:rsidR="00BB7C26">
        <w:rPr>
          <w:rFonts w:ascii="Times New Roman" w:hAnsi="Times New Roman"/>
          <w:szCs w:val="26"/>
        </w:rPr>
        <w:t xml:space="preserve"> Фінансового управління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  <w:r w:rsidR="00975FD6">
        <w:rPr>
          <w:rFonts w:ascii="Times New Roman" w:hAnsi="Times New Roman"/>
          <w:szCs w:val="26"/>
        </w:rPr>
        <w:t>(2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23548A" w:rsidP="0023548A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2354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1. Забезпечу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безпосередню участь у веденні бухгалтерського обліку фінансово-господарської діяльності Головного управління.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2. Нада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методичну допомогу начальникам секторів та головним спеціалістам відділів (управлінь), підпорядкованих Головному управлінню, з питань бухгалтерського обліку, фінансів та звітності. 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3. Викону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роботи з нарахування заробітної плати, премій, матеріальної допомоги, відпускних, лікарняних, інших виплат. 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4. Здійсню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нарахування та перерахування податків, внесків на державне соціальне і пенсійне страхування, інших обов’язкових платежів та заробітної плати відповідно до вимог чинного законодавства. 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5. Відобража</w:t>
            </w:r>
            <w:r>
              <w:rPr>
                <w:sz w:val="28"/>
                <w:szCs w:val="28"/>
              </w:rPr>
              <w:t>ти</w:t>
            </w:r>
            <w:r w:rsidRPr="00CF1164">
              <w:rPr>
                <w:sz w:val="28"/>
                <w:szCs w:val="28"/>
              </w:rPr>
              <w:t xml:space="preserve"> на рахунках бухгалтерського обліку операції, пов’язані із нарахуванням заробітної плати працівникам, податків до бюджету, внесків до фондів соціального страхування та інших внесків.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6. Викону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роботу щодо обліку розрахунків із заробітної плати, розрахунків з бюджетом і соціальними фондами по оплаті податків, внесків та інших обов’язкових платежів. 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7. Здійсню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облік операцій, пов’язаних з розрахунком та перерахуванням безготівкових виплат працівникам управління. 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8. Склада</w:t>
            </w:r>
            <w:r>
              <w:rPr>
                <w:sz w:val="28"/>
                <w:szCs w:val="28"/>
              </w:rPr>
              <w:t>ти</w:t>
            </w:r>
            <w:r w:rsidRPr="00CF1164">
              <w:rPr>
                <w:sz w:val="28"/>
                <w:szCs w:val="28"/>
              </w:rPr>
              <w:t xml:space="preserve"> на підставі даних бухгалтерського обліку відповідні звіти до Пенсійного фонду, Фонду зайнятості, Фонду державного </w:t>
            </w:r>
            <w:r w:rsidRPr="00CF1164">
              <w:rPr>
                <w:sz w:val="28"/>
                <w:szCs w:val="28"/>
              </w:rPr>
              <w:lastRenderedPageBreak/>
              <w:t>страхування, податкової інспекції, та нада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їх у встановлені терміни у відповідні органи. 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9. Готу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відомості, розшифрування, інші документи щодо оплати праці. 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10. Відповіда</w:t>
            </w:r>
            <w:r>
              <w:rPr>
                <w:sz w:val="28"/>
                <w:szCs w:val="28"/>
              </w:rPr>
              <w:t>ти</w:t>
            </w:r>
            <w:r w:rsidRPr="00CF1164">
              <w:rPr>
                <w:sz w:val="28"/>
                <w:szCs w:val="28"/>
              </w:rPr>
              <w:t xml:space="preserve"> за ведення особових рахунків працівників Головного управління.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11. Готу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довідки про доходи, за зверненнями працівників Головного управління.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12. Готу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довідки для нарахування та перерахування пенсій.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13. Брати участь в складанні кошторису витрат в розрізі оплати праці.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14. Здійсню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контроль за законністю, своєчасністю та правильністю оформлення документів, використанням фонду оплати праці, встановленням посадових окладів, нарахуванням і утриманням податків і зборів до державного бюджету та інших платежів.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15. Забезпечу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участь у розробці та здійсненні заходів, спрямованих на дотримання фінансової, касової дисципліни та раціональне використання ресурсів. 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16. Викону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роботи з формування, ведення та зберігання даних</w:t>
            </w:r>
            <w:r>
              <w:rPr>
                <w:sz w:val="28"/>
                <w:szCs w:val="28"/>
              </w:rPr>
              <w:t xml:space="preserve"> бухгалтерського обліку, стежити</w:t>
            </w:r>
            <w:r w:rsidRPr="00CF1164">
              <w:rPr>
                <w:sz w:val="28"/>
                <w:szCs w:val="28"/>
              </w:rPr>
              <w:t xml:space="preserve"> за зберіганням бух</w:t>
            </w:r>
            <w:r>
              <w:rPr>
                <w:sz w:val="28"/>
                <w:szCs w:val="28"/>
              </w:rPr>
              <w:t>галтерських документів, оформлювати</w:t>
            </w:r>
            <w:r w:rsidRPr="00CF1164">
              <w:rPr>
                <w:sz w:val="28"/>
                <w:szCs w:val="28"/>
              </w:rPr>
              <w:t xml:space="preserve"> їх відповідно до встановленого порядку для передачі до архіву.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17. Аналізу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пропозиції до кошторису відділів (управлінь), підпорядкованих Головному управлінню з фінансування видатків на заробітну плату, утримання, вивчати обґрунтування та подавати відповідні висновки.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18. Бр</w:t>
            </w:r>
            <w:r>
              <w:rPr>
                <w:sz w:val="28"/>
                <w:szCs w:val="28"/>
              </w:rPr>
              <w:t>ати</w:t>
            </w:r>
            <w:r w:rsidRPr="00CF1164">
              <w:rPr>
                <w:sz w:val="28"/>
                <w:szCs w:val="28"/>
              </w:rPr>
              <w:t xml:space="preserve"> участь у підготовці проектів наказів начальника Головного управління та інших службових документів з питань, віднесених до його компетенції.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 xml:space="preserve">19. </w:t>
            </w:r>
            <w:r>
              <w:rPr>
                <w:sz w:val="28"/>
                <w:szCs w:val="28"/>
              </w:rPr>
              <w:t>Б</w:t>
            </w:r>
            <w:r w:rsidRPr="00CF116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ати</w:t>
            </w:r>
            <w:r w:rsidRPr="00CF1164">
              <w:rPr>
                <w:sz w:val="28"/>
                <w:szCs w:val="28"/>
              </w:rPr>
              <w:t xml:space="preserve"> участь у здійсненні заходів, спрямованих на раціональне використання товарно-матеріальних цінностей, електроенергії, телефонного зв’язку.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20. Здійсню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облік, систематизацію та зберігання нормативних документів щодо бухгалтерського обліку та звітності.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 xml:space="preserve">21. </w:t>
            </w:r>
            <w:r>
              <w:rPr>
                <w:sz w:val="28"/>
                <w:szCs w:val="28"/>
              </w:rPr>
              <w:t>Б</w:t>
            </w:r>
            <w:r w:rsidRPr="00CF116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ати</w:t>
            </w:r>
            <w:r w:rsidRPr="00CF1164">
              <w:rPr>
                <w:sz w:val="28"/>
                <w:szCs w:val="28"/>
              </w:rPr>
              <w:t xml:space="preserve"> участь у проведенні інвентаризації грошових коштів, розрахунків та платіжних зобов’язань. </w:t>
            </w:r>
          </w:p>
          <w:p w:rsidR="00A47ABE" w:rsidRPr="00CF1164" w:rsidRDefault="00A47ABE" w:rsidP="00A47AB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164">
              <w:rPr>
                <w:sz w:val="28"/>
                <w:szCs w:val="28"/>
              </w:rPr>
              <w:t>22. Викону</w:t>
            </w:r>
            <w:r>
              <w:rPr>
                <w:sz w:val="28"/>
                <w:szCs w:val="28"/>
              </w:rPr>
              <w:t>вати</w:t>
            </w:r>
            <w:r w:rsidRPr="00CF1164">
              <w:rPr>
                <w:sz w:val="28"/>
                <w:szCs w:val="28"/>
              </w:rPr>
              <w:t xml:space="preserve"> інші завдання і доручення </w:t>
            </w:r>
            <w:r w:rsidRPr="00CF1164">
              <w:rPr>
                <w:sz w:val="28"/>
                <w:szCs w:val="28"/>
              </w:rPr>
              <w:lastRenderedPageBreak/>
              <w:t>керівництва відповідно до Положення про відділ.</w:t>
            </w:r>
          </w:p>
          <w:p w:rsidR="00226E46" w:rsidRPr="00542F9E" w:rsidRDefault="00A47ABE" w:rsidP="00A47ABE">
            <w:pPr>
              <w:jc w:val="both"/>
              <w:rPr>
                <w:lang w:val="uk-UA"/>
              </w:rPr>
            </w:pPr>
            <w:r w:rsidRPr="00CF1164">
              <w:t>23. Забезпечу</w:t>
            </w:r>
            <w:r>
              <w:rPr>
                <w:lang w:val="uk-UA"/>
              </w:rPr>
              <w:t>вати</w:t>
            </w:r>
            <w:r w:rsidRPr="00CF1164">
              <w:t xml:space="preserve"> дотримання вимог законодавства з питань захисту персональних даних, Закону України «Про державну таємницю», Закону України «Про інформацію».</w:t>
            </w:r>
          </w:p>
          <w:p w:rsidR="00741A1F" w:rsidRPr="005147A0" w:rsidRDefault="00741A1F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E4BBF" w:rsidRDefault="00CE4BBF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E4BBF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CE4BBF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CE4BBF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CE4BB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CE4BBF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CE4BBF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CE4BBF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CE4BB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CE4BB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E4BB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E4BB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E4BBF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E4BB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E4BB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E4BB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E4BB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E4BB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E4BB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E4BB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E4BB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E4BB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E4BB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E4BB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CE4BBF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RPr="00CE4BBF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001882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001882" w:rsidRPr="00001882">
                    <w:rPr>
                      <w:rFonts w:ascii="Times New Roman" w:hAnsi="Times New Roman"/>
                      <w:szCs w:val="26"/>
                    </w:rPr>
                    <w:t>051 «Економіка», 056 «Міжнародні економічні відносини», 071 «облік і оподаткування», 072 «Фінанси, банківська справа та страхування»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203F1D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CE4BBF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CE4BB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CE4BB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CE4BBF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A47ABE" w:rsidRPr="00D53390" w:rsidRDefault="00A47ABE" w:rsidP="00A47ABE">
                  <w:pPr>
                    <w:pStyle w:val="aa"/>
                    <w:tabs>
                      <w:tab w:val="left" w:pos="29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D53390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бухгалтерський облік та фінансову звітність в Україні»</w:t>
                  </w:r>
                </w:p>
                <w:p w:rsidR="00A47ABE" w:rsidRPr="00D53390" w:rsidRDefault="00A47ABE" w:rsidP="00A47ABE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D53390">
                    <w:rPr>
                      <w:rFonts w:ascii="Times New Roman" w:hAnsi="Times New Roman"/>
                      <w:sz w:val="28"/>
                      <w:szCs w:val="28"/>
                    </w:rPr>
                    <w:t xml:space="preserve">) Бюджетний Кодекс України, </w:t>
                  </w:r>
                </w:p>
                <w:p w:rsidR="00A47ABE" w:rsidRPr="00D53390" w:rsidRDefault="00A47ABE" w:rsidP="00A47ABE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D53390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Державний бюджет України» на відповідний період;</w:t>
                  </w:r>
                </w:p>
                <w:p w:rsidR="00A47ABE" w:rsidRPr="00D53390" w:rsidRDefault="00A47ABE" w:rsidP="00A47ABE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D53390">
                    <w:rPr>
                      <w:rFonts w:ascii="Times New Roman" w:hAnsi="Times New Roman"/>
                      <w:sz w:val="28"/>
                      <w:szCs w:val="28"/>
                    </w:rPr>
                    <w:t>) Національні положення (стандарти) бухгалтерського обліку в державному сектору та план рахунків бухгалтерського обліку бюджетних установ: постанови Кабінету Міністрів України від 26.01.2011 №59 «Про затвердження Типового положення про бухгалтерську службу бюджетної установи», від 28.02.2002 №228 «Порядок складання, розгляду, затвердження та основні вимоги до виконання кошторисів бюджетних установ»,  від 02.02.1995 №100 «Про затвердження Порядку обчислення середньої заробітної плати»; накази Міністерства фінансів України від 02.09.2014 №879 «Про затвердження Положення про інвентаризацію активів та зобов’язань», від 12.10.2010 №1202 «Основні засоби», від 24.01.2012 №44 «Про затвердження Порядку складання фінансової, бюджетної та іншої звітності розпорядниками та одержувачами бюджетних коштів;</w:t>
                  </w:r>
                </w:p>
                <w:p w:rsidR="00A47ABE" w:rsidRDefault="00A47ABE" w:rsidP="00A47ABE">
                  <w:pPr>
                    <w:pStyle w:val="aa"/>
                    <w:numPr>
                      <w:ilvl w:val="0"/>
                      <w:numId w:val="23"/>
                    </w:numPr>
                    <w:tabs>
                      <w:tab w:val="left" w:pos="237"/>
                      <w:tab w:val="left" w:pos="475"/>
                    </w:tabs>
                    <w:spacing w:befor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3390">
                    <w:rPr>
                      <w:rFonts w:ascii="Times New Roman" w:hAnsi="Times New Roman"/>
                      <w:sz w:val="28"/>
                      <w:szCs w:val="28"/>
                    </w:rPr>
                    <w:t>інші нормат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ивно - правові акти фінансово</w:t>
                  </w:r>
                </w:p>
                <w:p w:rsidR="00A47ABE" w:rsidRPr="00D53390" w:rsidRDefault="00A47ABE" w:rsidP="00A47ABE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left="34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3390">
                    <w:rPr>
                      <w:rFonts w:ascii="Times New Roman" w:hAnsi="Times New Roman"/>
                      <w:sz w:val="28"/>
                      <w:szCs w:val="28"/>
                    </w:rPr>
                    <w:t>економічного спрямування;</w:t>
                  </w:r>
                </w:p>
                <w:p w:rsidR="00A47ABE" w:rsidRPr="00D53390" w:rsidRDefault="00A47ABE" w:rsidP="00A47AB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339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6) </w:t>
                  </w:r>
                  <w:r w:rsidRPr="00D53390">
                    <w:rPr>
                      <w:rFonts w:ascii="Times New Roman" w:hAnsi="Times New Roman"/>
                      <w:sz w:val="28"/>
                      <w:szCs w:val="28"/>
                    </w:rPr>
                    <w:t>порядок оформлення операцій і організації документообігу за розділами обліку, форми та проведення розрахунків; порядок приймання, передачі товарно – матеріальних та інших цінностей;</w:t>
                  </w:r>
                </w:p>
                <w:p w:rsidR="00D73062" w:rsidRPr="00887B8E" w:rsidRDefault="00A47ABE" w:rsidP="00A47AB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D53390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53390">
                    <w:rPr>
                      <w:rFonts w:ascii="Times New Roman" w:hAnsi="Times New Roman"/>
                      <w:sz w:val="28"/>
                      <w:szCs w:val="28"/>
                    </w:rPr>
                    <w:t>Накази Держгеокадастру, Головного управління Держгеокадастру у Запорізькій області, положення про Головне управління Держгеокадастру у Запорізькій області, положення про відділ обліку зобов’язань та розрахунків Фінансового управління та інші нормативно-правовими акти,  які забезпечують формування та реалізацію державної політики у сфері бухгалтерського обліку.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72C"/>
    <w:multiLevelType w:val="hybridMultilevel"/>
    <w:tmpl w:val="960A7AF0"/>
    <w:lvl w:ilvl="0" w:tplc="0422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F70"/>
    <w:multiLevelType w:val="hybridMultilevel"/>
    <w:tmpl w:val="7848BF9C"/>
    <w:lvl w:ilvl="0" w:tplc="5E1857C4">
      <w:start w:val="5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5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10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2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9"/>
  </w:num>
  <w:num w:numId="6">
    <w:abstractNumId w:val="9"/>
  </w:num>
  <w:num w:numId="7">
    <w:abstractNumId w:val="12"/>
  </w:num>
  <w:num w:numId="8">
    <w:abstractNumId w:val="4"/>
  </w:num>
  <w:num w:numId="9">
    <w:abstractNumId w:val="22"/>
  </w:num>
  <w:num w:numId="10">
    <w:abstractNumId w:val="14"/>
  </w:num>
  <w:num w:numId="11">
    <w:abstractNumId w:val="16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7"/>
  </w:num>
  <w:num w:numId="17">
    <w:abstractNumId w:val="8"/>
  </w:num>
  <w:num w:numId="18">
    <w:abstractNumId w:val="18"/>
  </w:num>
  <w:num w:numId="19">
    <w:abstractNumId w:val="6"/>
  </w:num>
  <w:num w:numId="20">
    <w:abstractNumId w:val="11"/>
  </w:num>
  <w:num w:numId="21">
    <w:abstractNumId w:val="20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1882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1F30F0"/>
    <w:rsid w:val="00203F1D"/>
    <w:rsid w:val="00207BAB"/>
    <w:rsid w:val="00214F83"/>
    <w:rsid w:val="002208EC"/>
    <w:rsid w:val="00226E46"/>
    <w:rsid w:val="0023548A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1416B"/>
    <w:rsid w:val="00324951"/>
    <w:rsid w:val="003261BA"/>
    <w:rsid w:val="00327D5B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04D5B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0C04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65EE7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037C"/>
    <w:rsid w:val="00824223"/>
    <w:rsid w:val="0084155D"/>
    <w:rsid w:val="0084195E"/>
    <w:rsid w:val="00844C76"/>
    <w:rsid w:val="00870EA0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75FD6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37B8"/>
    <w:rsid w:val="009E6B66"/>
    <w:rsid w:val="00A14DA7"/>
    <w:rsid w:val="00A3277A"/>
    <w:rsid w:val="00A47ABE"/>
    <w:rsid w:val="00A838D8"/>
    <w:rsid w:val="00A905F4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B7C26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23DE8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E4BBF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D10A4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BD4B-D6F0-4B80-8EA5-3EB81D4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2A9D-D812-4C24-B464-0EE6DAFC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35</cp:revision>
  <cp:lastPrinted>2017-10-13T07:06:00Z</cp:lastPrinted>
  <dcterms:created xsi:type="dcterms:W3CDTF">2017-10-13T13:01:00Z</dcterms:created>
  <dcterms:modified xsi:type="dcterms:W3CDTF">2018-10-01T08:49:00Z</dcterms:modified>
</cp:coreProperties>
</file>