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6" w:rsidRPr="00245416" w:rsidRDefault="00245416" w:rsidP="00245416">
      <w:pPr>
        <w:pBdr>
          <w:top w:val="single" w:sz="36" w:space="8" w:color="DDDDDD"/>
          <w:bottom w:val="single" w:sz="36" w:space="11" w:color="DDDDDD"/>
        </w:pBdr>
        <w:shd w:val="clear" w:color="auto" w:fill="F1F1F1"/>
        <w:spacing w:after="0" w:line="496" w:lineRule="atLeast"/>
        <w:outlineLvl w:val="1"/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</w:pP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begin"/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HYPERLINK "http://ternopilska.land.gov.ua/info/roziasnennia-nazk-iak-podavaty-deklaratsii-za-novymy-pravylamy/" \o "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РОЗ’ЯСНЕННЯ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НАЗК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,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ЯК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ПОДАВАТИ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ДЕКЛАРАЦІЇ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ЗА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НОВИМИ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 </w:instrText>
      </w:r>
      <w:r w:rsidRPr="00245416">
        <w:rPr>
          <w:rFonts w:ascii="inherit" w:eastAsia="Times New Roman" w:hAnsi="inherit" w:cs="Times New Roman" w:hint="eastAsia"/>
          <w:b/>
          <w:bCs/>
          <w:color w:val="444444"/>
          <w:spacing w:val="-15"/>
          <w:sz w:val="37"/>
          <w:szCs w:val="37"/>
          <w:lang w:eastAsia="ru-RU"/>
        </w:rPr>
        <w:instrText>ПРАВИЛАМИ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instrText xml:space="preserve">" </w:instrTex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separate"/>
      </w:r>
      <w:r w:rsidRPr="00245416">
        <w:rPr>
          <w:rFonts w:ascii="inherit" w:eastAsia="Times New Roman" w:hAnsi="inherit" w:cs="Times New Roman"/>
          <w:b/>
          <w:bCs/>
          <w:color w:val="111111"/>
          <w:spacing w:val="-15"/>
          <w:sz w:val="37"/>
          <w:lang w:eastAsia="ru-RU"/>
        </w:rPr>
        <w:t>РОЗ’ЯСНЕННЯ НАЗК, ЯК ПОДАВАТИ ДЕКЛАРАЦІЇ ЗА НОВИМИ ПРАВИЛАМИ</w:t>
      </w:r>
      <w:r w:rsidRPr="00245416">
        <w:rPr>
          <w:rFonts w:ascii="inherit" w:eastAsia="Times New Roman" w:hAnsi="inherit" w:cs="Times New Roman"/>
          <w:b/>
          <w:bCs/>
          <w:color w:val="444444"/>
          <w:spacing w:val="-15"/>
          <w:sz w:val="37"/>
          <w:szCs w:val="37"/>
          <w:lang w:eastAsia="ru-RU"/>
        </w:rPr>
        <w:fldChar w:fldCharType="end"/>
      </w:r>
    </w:p>
    <w:p w:rsidR="00245416" w:rsidRPr="00245416" w:rsidRDefault="00245416" w:rsidP="00245416">
      <w:pPr>
        <w:shd w:val="clear" w:color="auto" w:fill="F1F1F1"/>
        <w:spacing w:line="306" w:lineRule="atLeast"/>
        <w:rPr>
          <w:rFonts w:ascii="Verdana" w:eastAsia="Times New Roman" w:hAnsi="Verdana" w:cs="Times New Roman"/>
          <w:b/>
          <w:bCs/>
          <w:color w:val="999999"/>
          <w:sz w:val="26"/>
          <w:szCs w:val="26"/>
          <w:lang w:eastAsia="ru-RU"/>
        </w:rPr>
      </w:pPr>
      <w:hyperlink r:id="rId4" w:history="1">
        <w:r w:rsidRPr="00245416">
          <w:rPr>
            <w:rFonts w:ascii="Verdana" w:eastAsia="Times New Roman" w:hAnsi="Verdana" w:cs="Times New Roman"/>
            <w:b/>
            <w:bCs/>
            <w:color w:val="0093C2"/>
            <w:sz w:val="26"/>
            <w:lang w:eastAsia="ru-RU"/>
          </w:rPr>
          <w:t>23.03.2020</w:t>
        </w:r>
      </w:hyperlink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19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березня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газеті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Верховно</w:t>
      </w:r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ади «Голос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України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»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оприлюднено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Закон «Про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внесення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змін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деяких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законодавчих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актів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України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зв’язку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прийняттям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Закону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України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“Про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запобігання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корупції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”» № 524-ІХ. Документ набрав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чинності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20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березня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Закон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змінює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правила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подання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щорічних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декларацій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 2019 </w:t>
      </w: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звужує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коло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перелік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об’єктів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. Так,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щорічну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декларацію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 2019 </w:t>
      </w: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потрібно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подавати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працівникам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патронатних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служб (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перелік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посад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визначено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статті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92 Закону «Про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державну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службу»),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крім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радників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помічників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уповноважених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прес-секретаря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Президента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України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помічників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суддів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трьох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типах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декларацій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 2019 </w:t>
      </w: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це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щорічна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після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звільнення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кандидата на посаду –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більше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потрібно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зазначати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: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унікальний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номер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запису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Єдиному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державному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демографічному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реє</w:t>
      </w:r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стр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його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належність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національних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публічних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діячів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зареєстроване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місце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проживання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об’єкти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які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перебували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володінні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користуванні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його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</w:t>
      </w:r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протягом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менше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половини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звітного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періоду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</w:t>
      </w:r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</w:t>
      </w:r>
      <w:proofErr w:type="spellEnd"/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які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спільно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ним проживали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сукупно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протягом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менше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183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протягом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року;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трасти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інші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подібні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правові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утворення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кінцевим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бенефіціарним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власником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(контролером)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яких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є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члени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його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криптовалюти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;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банківські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інші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фінансові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установи, </w:t>
      </w:r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у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тому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числі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 кордоном,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яких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відкриті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рахунки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зберігаються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кошти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інше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майно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(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розділ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12.1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).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lastRenderedPageBreak/>
        <w:t>Національне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агентство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20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березня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забезпечує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можливість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обрати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позначку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«Не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застосовується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» 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розділах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2.1 та 2.2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форми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які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стосуються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відомостей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належність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публічних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діячів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суб’єкта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зареєстрованого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місця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проживання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членів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сім’ї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декларанта.</w:t>
      </w:r>
      <w:proofErr w:type="gramEnd"/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У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розділі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12.1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декларації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слід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обрати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позначку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«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Відсутня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інформація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для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декларування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цьому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розділі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».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інших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вищенаведених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випадках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відомості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зазначаються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Нагадаємо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подання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щорічних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декларацій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за 2019 </w:t>
      </w: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р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ік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продовжено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до 1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червня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.</w:t>
      </w:r>
    </w:p>
    <w:p w:rsidR="00245416" w:rsidRPr="00245416" w:rsidRDefault="00245416" w:rsidP="00245416">
      <w:pPr>
        <w:shd w:val="clear" w:color="auto" w:fill="F1F1F1"/>
        <w:spacing w:after="30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proofErr w:type="spellStart"/>
      <w:proofErr w:type="gram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Б</w:t>
      </w:r>
      <w:proofErr w:type="gram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ільше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новин – в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публічному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>Telegram-каналі</w:t>
      </w:r>
      <w:proofErr w:type="spellEnd"/>
      <w:r w:rsidRPr="00245416"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  <w:t xml:space="preserve"> НАЗК.</w:t>
      </w:r>
    </w:p>
    <w:p w:rsidR="00245416" w:rsidRPr="00245416" w:rsidRDefault="00245416" w:rsidP="00245416">
      <w:pPr>
        <w:shd w:val="clear" w:color="auto" w:fill="F1F1F1"/>
        <w:spacing w:after="0" w:line="370" w:lineRule="atLeast"/>
        <w:jc w:val="both"/>
        <w:rPr>
          <w:rFonts w:ascii="inherit" w:eastAsia="Times New Roman" w:hAnsi="inherit" w:cs="Times New Roman"/>
          <w:color w:val="444444"/>
          <w:sz w:val="26"/>
          <w:szCs w:val="26"/>
          <w:lang w:eastAsia="ru-RU"/>
        </w:rPr>
      </w:pPr>
      <w:hyperlink r:id="rId5" w:history="1">
        <w:r w:rsidRPr="00245416">
          <w:rPr>
            <w:rFonts w:ascii="inherit" w:eastAsia="Times New Roman" w:hAnsi="inherit" w:cs="Times New Roman"/>
            <w:color w:val="0093C2"/>
            <w:sz w:val="26"/>
            <w:lang w:eastAsia="ru-RU"/>
          </w:rPr>
          <w:t>https://nazk.gov.ua/uk/bez-kategoriyi/nazk-roz-yasnylo-yak-podavaty-deklaratsiyi-za-novymy-pravylamy-2/</w:t>
        </w:r>
      </w:hyperlink>
    </w:p>
    <w:p w:rsidR="00E104F2" w:rsidRDefault="00245416"/>
    <w:sectPr w:rsidR="00E104F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16"/>
    <w:rsid w:val="00245416"/>
    <w:rsid w:val="00A67C65"/>
    <w:rsid w:val="00AA3FBE"/>
    <w:rsid w:val="00D77B15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paragraph" w:styleId="2">
    <w:name w:val="heading 2"/>
    <w:basedOn w:val="a"/>
    <w:link w:val="20"/>
    <w:uiPriority w:val="9"/>
    <w:qFormat/>
    <w:rsid w:val="00245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5416"/>
    <w:rPr>
      <w:color w:val="0000FF"/>
      <w:u w:val="single"/>
    </w:rPr>
  </w:style>
  <w:style w:type="character" w:customStyle="1" w:styleId="post-meta-date">
    <w:name w:val="post-meta-date"/>
    <w:basedOn w:val="a0"/>
    <w:rsid w:val="00245416"/>
  </w:style>
  <w:style w:type="paragraph" w:styleId="a4">
    <w:name w:val="Normal (Web)"/>
    <w:basedOn w:val="a"/>
    <w:uiPriority w:val="99"/>
    <w:semiHidden/>
    <w:unhideWhenUsed/>
    <w:rsid w:val="002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4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uk/bez-kategoriyi/nazk-roz-yasnylo-yak-podavaty-deklaratsiyi-za-novymy-pravylamy-2/" TargetMode="External"/><Relationship Id="rId4" Type="http://schemas.openxmlformats.org/officeDocument/2006/relationships/hyperlink" Target="http://ternopilska.land.gov.ua/info/roziasnennia-nazk-iak-podavaty-deklaratsii-za-novymy-pravyla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2020-04-09T12:08:00Z</dcterms:created>
  <dcterms:modified xsi:type="dcterms:W3CDTF">2020-04-09T12:09:00Z</dcterms:modified>
</cp:coreProperties>
</file>