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33E44" w:rsidRPr="00A33E44" w:rsidRDefault="00A33E44" w:rsidP="00A33E44">
      <w:pPr>
        <w:pBdr>
          <w:top w:val="single" w:sz="36" w:space="8" w:color="DDDDDD"/>
          <w:bottom w:val="single" w:sz="36" w:space="11" w:color="DDDDDD"/>
        </w:pBdr>
        <w:shd w:val="clear" w:color="auto" w:fill="F1F1F1"/>
        <w:spacing w:after="0" w:line="496" w:lineRule="atLeast"/>
        <w:outlineLvl w:val="1"/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</w:pP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fldChar w:fldCharType="begin"/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 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HYPERLINK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 "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https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://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kirovohradska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land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gov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.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ua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/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info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/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obmezhennya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spilnoyi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roboty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blyzkyh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>-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instrText>osib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  <w:instrText xml:space="preserve">/" </w:instrTex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fldChar w:fldCharType="separate"/>
      </w:r>
      <w:r w:rsidRPr="00A33E44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Обмеження спільної роботи близьких осіб</w:t>
      </w:r>
      <w:r w:rsidRPr="00A33E44"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</w:rPr>
        <w:fldChar w:fldCharType="end"/>
      </w:r>
    </w:p>
    <w:bookmarkEnd w:id="0"/>
    <w:p w:rsidR="00A33E44" w:rsidRPr="00A33E44" w:rsidRDefault="00A33E44" w:rsidP="00A33E44">
      <w:pPr>
        <w:shd w:val="clear" w:color="auto" w:fill="F1F1F1"/>
        <w:spacing w:line="306" w:lineRule="atLeast"/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</w:pP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fldChar w:fldCharType="begin"/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 xml:space="preserve"> 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HYPERLINK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 xml:space="preserve"> "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https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://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kirovohradska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.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land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.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gov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.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ua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/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info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/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obmezhennya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spilnoyi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roboty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blyzkyh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>-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instrText>osib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  <w:lang w:val="ru-RU"/>
        </w:rPr>
        <w:instrText xml:space="preserve">/" </w:instrTex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fldChar w:fldCharType="separate"/>
      </w:r>
      <w:r w:rsidRPr="00A33E44">
        <w:rPr>
          <w:rFonts w:ascii="Verdana" w:eastAsia="Times New Roman" w:hAnsi="Verdana" w:cs="Times New Roman"/>
          <w:b/>
          <w:bCs/>
          <w:color w:val="0093C2"/>
          <w:sz w:val="26"/>
          <w:szCs w:val="26"/>
          <w:u w:val="single"/>
          <w:lang w:val="ru-RU"/>
        </w:rPr>
        <w:t>28.10.2024</w:t>
      </w:r>
      <w:r w:rsidRPr="00A33E44">
        <w:rPr>
          <w:rFonts w:ascii="Verdana" w:eastAsia="Times New Roman" w:hAnsi="Verdana" w:cs="Times New Roman"/>
          <w:b/>
          <w:bCs/>
          <w:color w:val="999999"/>
          <w:sz w:val="26"/>
          <w:szCs w:val="26"/>
        </w:rPr>
        <w:fldChar w:fldCharType="end"/>
      </w:r>
    </w:p>
    <w:p w:rsidR="00A33E44" w:rsidRPr="00A33E44" w:rsidRDefault="00A33E44" w:rsidP="00A33E44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A33E44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Особи, зазначені в п. 1. ч. 1 ст. 3 Закону, не можуть: мати у прямому підпорядкування близьких їм осіб; бути прямо підпорядкованими у зв’язку з виконанням повноважень близьким їм особам (ч. 1 ст. 27 Закону).</w:t>
      </w:r>
      <w:r w:rsidRPr="00A33E44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A33E44">
        <w:rPr>
          <w:rFonts w:ascii="inherit" w:eastAsia="Times New Roman" w:hAnsi="inherit" w:cs="Times New Roman"/>
          <w:b/>
          <w:bCs/>
          <w:color w:val="444444"/>
          <w:sz w:val="26"/>
          <w:szCs w:val="26"/>
        </w:rPr>
        <w:t>Пряме підпорядкування </w:t>
      </w:r>
      <w:r w:rsidRPr="00A33E44">
        <w:rPr>
          <w:rFonts w:ascii="inherit" w:eastAsia="Times New Roman" w:hAnsi="inherit" w:cs="Times New Roman"/>
          <w:color w:val="444444"/>
          <w:sz w:val="26"/>
          <w:szCs w:val="26"/>
        </w:rPr>
        <w:t>– це відносини прямої організаційної або правової залежності підлеглої особи від її керівника, в тому числі через вирішення (участь у вирішенні) питань прийняття на роботу, звільнення з роботи, застосування заохочень, дисциплінарних стягнень, надання вказівок, доручень тощо, контролю за їх виконанням (ст. 1 Закону).</w:t>
      </w:r>
    </w:p>
    <w:p w:rsidR="00A33E44" w:rsidRPr="00A33E44" w:rsidRDefault="00A33E44" w:rsidP="00A33E44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A33E44"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ru-RU"/>
        </w:rPr>
        <w:t>Особи, які претендують на зайняття посад, зазначених у п. 1 ч. 1 ст. 3 Закону, зобов’язані повідомити керівництво органу, на посаду в якому вони претендують, про працюючих у цьому органі близьких їм осіб</w:t>
      </w:r>
      <w:r w:rsidRPr="00A33E44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A33E44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(ч. 1 ст. 27 Закону). 5 Таке повідомлення здійснюється стосовно всіх близьких осіб, які працюють в органі, незалежно від того, яку посаду вони обіймають, та чи призведе таке призначення до утворення відносин прямого підпорядкування між близькими особами. У повідомленні необхідно зазначати також про близьких осіб, які працюють в органі вищого (нижчого) рівня до органу, в який працевлаштовується особа, оскільки поняття «пряме підпорядкування» охоплює повноваження щодо прийняття на роботу, звільнення з роботи, застосування заохочень, дисциплінарних стягнень (у тому числі участь у вирішенні таких питань) тощо.</w:t>
      </w:r>
    </w:p>
    <w:p w:rsidR="00A33E44" w:rsidRPr="00A33E44" w:rsidRDefault="00A33E44" w:rsidP="00A33E44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A33E44">
        <w:rPr>
          <w:rFonts w:ascii="inherit" w:eastAsia="Times New Roman" w:hAnsi="inherit" w:cs="Times New Roman"/>
          <w:b/>
          <w:bCs/>
          <w:color w:val="444444"/>
          <w:sz w:val="26"/>
          <w:szCs w:val="26"/>
        </w:rPr>
        <w:t>Порядок і строки дій у разі виникнення обставин прямого підпорядкування між близькими особами: </w:t>
      </w:r>
      <w:r w:rsidRPr="00A33E44">
        <w:rPr>
          <w:rFonts w:ascii="inherit" w:eastAsia="Times New Roman" w:hAnsi="inherit" w:cs="Times New Roman"/>
          <w:color w:val="444444"/>
          <w:sz w:val="26"/>
          <w:szCs w:val="26"/>
        </w:rPr>
        <w:t>у 15-денний строк близькі особи вживають заходів щодо усунення таких обставин; якщо в зазначений строк ці обставини добровільно не усунуто, відповідні особи або близькі їм особи в місячний строк з моменту виникнення обставин підлягають переведенню в установленому порядку на іншу посаду, що виключає пряме підпорядкування; у разі неможливості такого переведення особа, яка перебуває у підпорядкуванні, підлягає звільненню із займаної посади.</w:t>
      </w:r>
    </w:p>
    <w:p w:rsidR="00A33E44" w:rsidRPr="00A33E44" w:rsidRDefault="00A33E44" w:rsidP="00A33E44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A33E44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При усуненні обставин прямого підпорядкування близьких осіб переведення може бути застосоване як до особи, яка перебуває у прямому підпорядкуванні, так і до особи, у якої в прямому підпорядкуванні перебуває близька особа. Натомість, у разі неможливості переведення, звільненню підлягає саме особа, яка перебуває в підпорядкуванні. На посадових осіб юридичних осіб публічного права, які не зазначені в п. 1 ч. 1 ст. 3 Закону, зокрема на керівників та інших посадових осіб державних та комунальних підприємств, установ, організацій, не поширюються </w:t>
      </w:r>
      <w:r w:rsidRPr="00A33E44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lastRenderedPageBreak/>
        <w:t>обмеження спільної роботи близьких осіб, визначені в ст. 27 Закону. Але на вказаних осіб поширюються вимоги щодо запобігання та врегулювання конфлікту інтересів, передбачені у ст. 28 Закону.</w:t>
      </w:r>
    </w:p>
    <w:p w:rsidR="00A33E44" w:rsidRPr="00A33E44" w:rsidRDefault="00A33E44" w:rsidP="00A33E44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A33E44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Відносини прямого підпорядкування між близькими особами завжди зумовлюють наявність потенційного конфлікту інтересів у особи, якій підпорядковується його близька особа. У такому випадку слід вживати передбачених Законом заходів для врегулювання конфлікту інтересів.</w:t>
      </w:r>
    </w:p>
    <w:p w:rsidR="002E29B7" w:rsidRPr="00A33E44" w:rsidRDefault="002E29B7">
      <w:pPr>
        <w:rPr>
          <w:lang w:val="ru-RU"/>
        </w:rPr>
      </w:pPr>
    </w:p>
    <w:sectPr w:rsidR="002E29B7" w:rsidRPr="00A33E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ED"/>
    <w:rsid w:val="00283EED"/>
    <w:rsid w:val="002E29B7"/>
    <w:rsid w:val="00A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19DE-0880-4C6C-A905-F0A76D4E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3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E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33E44"/>
    <w:rPr>
      <w:color w:val="0000FF"/>
      <w:u w:val="single"/>
    </w:rPr>
  </w:style>
  <w:style w:type="character" w:customStyle="1" w:styleId="post-meta-date">
    <w:name w:val="post-meta-date"/>
    <w:basedOn w:val="a0"/>
    <w:rsid w:val="00A33E44"/>
  </w:style>
  <w:style w:type="paragraph" w:styleId="a4">
    <w:name w:val="Normal (Web)"/>
    <w:basedOn w:val="a"/>
    <w:uiPriority w:val="99"/>
    <w:semiHidden/>
    <w:unhideWhenUsed/>
    <w:rsid w:val="00A3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3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9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2024-12-30T08:36:00Z</dcterms:created>
  <dcterms:modified xsi:type="dcterms:W3CDTF">2024-12-30T08:36:00Z</dcterms:modified>
</cp:coreProperties>
</file>